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6C048" w14:textId="77777777" w:rsidR="007B2EEB" w:rsidRDefault="007B2EEB" w:rsidP="007B2EEB">
      <w:pPr>
        <w:rPr>
          <w:rFonts w:eastAsia="Arial"/>
          <w:b/>
          <w:bCs/>
          <w:sz w:val="32"/>
          <w:szCs w:val="32"/>
        </w:rPr>
      </w:pPr>
    </w:p>
    <w:p w14:paraId="0E1B4C79" w14:textId="6D2270E3" w:rsidR="007B2EEB" w:rsidRDefault="007B2EEB" w:rsidP="007B2EEB">
      <w:pPr>
        <w:jc w:val="right"/>
      </w:pPr>
      <w:r>
        <w:rPr>
          <w:noProof/>
        </w:rPr>
        <w:drawing>
          <wp:inline distT="0" distB="0" distL="0" distR="0" wp14:anchorId="0845C243" wp14:editId="0EC87767">
            <wp:extent cx="1708150" cy="1028700"/>
            <wp:effectExtent l="0" t="0" r="635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81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5167EB" w14:textId="77777777" w:rsidR="007B2EEB" w:rsidRDefault="007B2EEB" w:rsidP="007B2EEB"/>
    <w:p w14:paraId="5B004220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72521A1F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540189BC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61C046A6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7FE53B27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67ED0C15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760C716B" w14:textId="178C2001" w:rsidR="007B2EEB" w:rsidRDefault="007B2EEB" w:rsidP="007B2E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Investment Oversight and </w:t>
      </w:r>
    </w:p>
    <w:p w14:paraId="271AA5A2" w14:textId="763F2A13" w:rsidR="007B2EEB" w:rsidRDefault="007B2EEB" w:rsidP="007B2EEB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Vacancy Control Panel</w:t>
      </w:r>
    </w:p>
    <w:p w14:paraId="0851920D" w14:textId="3C5CA376" w:rsidR="007B2EEB" w:rsidRDefault="007B2EEB">
      <w:pPr>
        <w:spacing w:after="160" w:line="259" w:lineRule="auto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</w:p>
    <w:p w14:paraId="48F7BC2F" w14:textId="77777777" w:rsidR="007B2EEB" w:rsidRDefault="007B2EEB" w:rsidP="007B2EEB">
      <w:pPr>
        <w:jc w:val="center"/>
        <w:rPr>
          <w:b/>
          <w:bCs/>
          <w:sz w:val="36"/>
          <w:szCs w:val="36"/>
        </w:rPr>
      </w:pPr>
    </w:p>
    <w:p w14:paraId="566807E9" w14:textId="77777777" w:rsidR="007B2EEB" w:rsidRDefault="007B2EEB" w:rsidP="007B2EEB">
      <w:pPr>
        <w:rPr>
          <w:b/>
          <w:bCs/>
        </w:rPr>
      </w:pPr>
    </w:p>
    <w:sdt>
      <w:sdtPr>
        <w:rPr>
          <w:rFonts w:eastAsiaTheme="minorHAnsi" w:cs="Arial"/>
          <w:b w:val="0"/>
          <w:bCs w:val="0"/>
          <w:sz w:val="22"/>
          <w:szCs w:val="22"/>
          <w:lang w:val="en-GB" w:eastAsia="en-US"/>
        </w:rPr>
        <w:id w:val="-421413327"/>
        <w:docPartObj>
          <w:docPartGallery w:val="Table of Contents"/>
          <w:docPartUnique/>
        </w:docPartObj>
      </w:sdtPr>
      <w:sdtEndPr/>
      <w:sdtContent>
        <w:p w14:paraId="7004612A" w14:textId="77777777" w:rsidR="007B2EEB" w:rsidRDefault="007B2EEB" w:rsidP="007B2EEB">
          <w:pPr>
            <w:pStyle w:val="TOCHeading"/>
            <w:rPr>
              <w:rFonts w:cs="Arial"/>
            </w:rPr>
          </w:pPr>
          <w:r>
            <w:rPr>
              <w:rFonts w:cs="Arial"/>
            </w:rPr>
            <w:t>Table of</w:t>
          </w:r>
          <w:r>
            <w:rPr>
              <w:rFonts w:cs="Arial"/>
              <w:sz w:val="22"/>
              <w:szCs w:val="22"/>
            </w:rPr>
            <w:t xml:space="preserve"> </w:t>
          </w:r>
          <w:r>
            <w:rPr>
              <w:rFonts w:cs="Arial"/>
            </w:rPr>
            <w:t>Contents</w:t>
          </w:r>
        </w:p>
        <w:p w14:paraId="73107B32" w14:textId="77777777" w:rsidR="007B2EEB" w:rsidRPr="007F1565" w:rsidRDefault="007B2EEB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r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begin"/>
          </w:r>
          <w:r>
            <w:rPr>
              <w:rFonts w:ascii="Arial" w:hAnsi="Arial" w:cs="Arial"/>
              <w:b w:val="0"/>
              <w:bCs w:val="0"/>
              <w:sz w:val="22"/>
              <w:szCs w:val="22"/>
            </w:rPr>
            <w:instrText xml:space="preserve"> TOC \o "1-2" \h \z \u </w:instrText>
          </w:r>
          <w:r>
            <w:rPr>
              <w:rFonts w:ascii="Arial" w:hAnsi="Arial" w:cs="Arial"/>
              <w:b w:val="0"/>
              <w:bCs w:val="0"/>
              <w:sz w:val="22"/>
              <w:szCs w:val="22"/>
            </w:rPr>
            <w:fldChar w:fldCharType="separate"/>
          </w:r>
          <w:hyperlink r:id="rId8" w:anchor="_Toc129939999" w:history="1">
            <w:r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Establishment</w:t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_Toc129939999 \h </w:instrText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531F94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9" w:anchor="_Toc129940000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Terms of reference: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_Toc129940000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1EF58B1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0" w:anchor="_Toc129940001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Purpose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_Toc129940001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162A55AC" w14:textId="77777777" w:rsidR="007B2EEB" w:rsidRPr="007F1565" w:rsidRDefault="007F1565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hyperlink r:id="rId11" w:anchor="_Toc129940002" w:history="1">
            <w:r w:rsidR="007B2EEB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Roles and responsibilities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_Toc129940002 \h </w:instrTex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1255304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2" w:anchor="_Toc129940003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Duties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_Toc129940003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FEEAEBF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3" w:anchor="_Toc129940004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Authority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_Toc129940004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42B2BD9D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4" w:anchor="_Toc129940005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Accountability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_Toc129940005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2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E20FCE9" w14:textId="3F0BD6AA" w:rsidR="007B2EEB" w:rsidRPr="007F1565" w:rsidRDefault="007F1565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hyperlink r:id="rId15" w:anchor="_Toc129940006" w:history="1">
            <w:r w:rsidR="00370938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Panel</w:t>
            </w:r>
            <w:r w:rsidR="007B2EEB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 xml:space="preserve"> meetings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_Toc129940006 \h </w:instrTex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3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32935E6C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6" w:anchor="_Toc129940007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Composition and quoracy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_Toc129940007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3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A9A1EAA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7" w:anchor="_Toc129940008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Frequency and formats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_Toc129940008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5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59739E5" w14:textId="77777777" w:rsidR="007B2EEB" w:rsidRPr="007F1565" w:rsidRDefault="007F1565" w:rsidP="007B2EEB">
          <w:pPr>
            <w:pStyle w:val="TOC2"/>
            <w:tabs>
              <w:tab w:val="right" w:leader="dot" w:pos="9016"/>
            </w:tabs>
            <w:rPr>
              <w:rFonts w:ascii="Arial" w:eastAsiaTheme="minorEastAsia" w:hAnsi="Arial" w:cs="Arial"/>
              <w:i w:val="0"/>
              <w:iCs w:val="0"/>
              <w:noProof/>
              <w:sz w:val="22"/>
              <w:szCs w:val="22"/>
              <w:lang w:eastAsia="en-GB"/>
            </w:rPr>
          </w:pPr>
          <w:hyperlink r:id="rId18" w:anchor="_Toc129940009" w:history="1"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sz w:val="22"/>
                <w:szCs w:val="22"/>
              </w:rPr>
              <w:t>Procedures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instrText xml:space="preserve"> PAGEREF _Toc129940009 \h </w:instrTex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t>5</w:t>
            </w:r>
            <w:r w:rsidR="007B2EEB" w:rsidRPr="007F1565">
              <w:rPr>
                <w:rStyle w:val="Hyperlink"/>
                <w:rFonts w:ascii="Arial" w:hAnsi="Arial" w:cs="Arial"/>
                <w:i w:val="0"/>
                <w:iCs w:val="0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7594F3BC" w14:textId="77777777" w:rsidR="007B2EEB" w:rsidRPr="007F1565" w:rsidRDefault="007F1565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hyperlink r:id="rId19" w:anchor="_Toc129940010" w:history="1">
            <w:r w:rsidR="007B2EEB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Secretariat and administration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_Toc129940010 \h </w:instrTex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6E576290" w14:textId="77777777" w:rsidR="007B2EEB" w:rsidRPr="007F1565" w:rsidRDefault="007F1565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hyperlink r:id="rId20" w:anchor="_Toc129940011" w:history="1">
            <w:r w:rsidR="007B2EEB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Appendix 1: Approval History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_Toc129940011 \h </w:instrTex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296D247A" w14:textId="77777777" w:rsidR="007B2EEB" w:rsidRPr="007F1565" w:rsidRDefault="007F1565" w:rsidP="007B2EEB">
          <w:pPr>
            <w:pStyle w:val="TOC1"/>
            <w:tabs>
              <w:tab w:val="right" w:leader="dot" w:pos="9016"/>
            </w:tabs>
            <w:rPr>
              <w:rFonts w:ascii="Arial" w:eastAsiaTheme="minorEastAsia" w:hAnsi="Arial" w:cs="Arial"/>
              <w:b w:val="0"/>
              <w:bCs w:val="0"/>
              <w:noProof/>
              <w:sz w:val="22"/>
              <w:szCs w:val="22"/>
              <w:lang w:eastAsia="en-GB"/>
            </w:rPr>
          </w:pPr>
          <w:hyperlink r:id="rId21" w:anchor="_Toc129940012" w:history="1">
            <w:r w:rsidR="007B2EEB" w:rsidRPr="007F1565">
              <w:rPr>
                <w:rStyle w:val="Hyperlink"/>
                <w:rFonts w:ascii="Arial" w:hAnsi="Arial" w:cs="Arial"/>
                <w:noProof/>
                <w:sz w:val="22"/>
                <w:szCs w:val="22"/>
              </w:rPr>
              <w:t>Appendix 2: Review History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ab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begin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instrText xml:space="preserve"> PAGEREF _Toc129940012 \h </w:instrTex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separate"/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t>6</w:t>
            </w:r>
            <w:r w:rsidR="007B2EEB" w:rsidRPr="007F1565">
              <w:rPr>
                <w:rStyle w:val="Hyperlink"/>
                <w:rFonts w:ascii="Arial" w:hAnsi="Arial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14:paraId="5B1D2107" w14:textId="77777777" w:rsidR="007B2EEB" w:rsidRDefault="007B2EEB" w:rsidP="007B2EEB">
          <w:r>
            <w:rPr>
              <w:b/>
              <w:bCs/>
              <w:sz w:val="22"/>
              <w:szCs w:val="22"/>
            </w:rPr>
            <w:fldChar w:fldCharType="end"/>
          </w:r>
        </w:p>
      </w:sdtContent>
    </w:sdt>
    <w:p w14:paraId="0788F90A" w14:textId="77777777" w:rsidR="007B2EEB" w:rsidRDefault="007B2EEB" w:rsidP="007B2EEB"/>
    <w:p w14:paraId="2CC6B2E6" w14:textId="77777777" w:rsidR="007B2EEB" w:rsidRDefault="007B2EEB" w:rsidP="007B2EEB">
      <w:pPr>
        <w:rPr>
          <w:b/>
          <w:bCs/>
        </w:rPr>
      </w:pPr>
      <w:r>
        <w:rPr>
          <w:b/>
          <w:bCs/>
        </w:rPr>
        <w:br w:type="page"/>
      </w:r>
    </w:p>
    <w:p w14:paraId="5DC9F938" w14:textId="77777777" w:rsidR="007B2EEB" w:rsidRDefault="007B2EEB" w:rsidP="007B2EEB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0" w:name="_Toc129939321"/>
      <w:bookmarkStart w:id="1" w:name="_Toc129939488"/>
      <w:bookmarkStart w:id="2" w:name="_Toc129939999"/>
      <w:bookmarkStart w:id="3" w:name="_Toc129940162"/>
      <w:bookmarkStart w:id="4" w:name="_Toc131156885"/>
      <w:r>
        <w:lastRenderedPageBreak/>
        <w:t>Establishment</w:t>
      </w:r>
      <w:bookmarkEnd w:id="0"/>
      <w:bookmarkEnd w:id="1"/>
      <w:bookmarkEnd w:id="2"/>
      <w:bookmarkEnd w:id="3"/>
      <w:bookmarkEnd w:id="4"/>
    </w:p>
    <w:p w14:paraId="286AC71E" w14:textId="10868A13" w:rsidR="007B2EEB" w:rsidRPr="007B2EEB" w:rsidRDefault="007B2EEB" w:rsidP="007B2EEB">
      <w:pPr>
        <w:pStyle w:val="Indentedparagraph"/>
        <w:jc w:val="both"/>
        <w:rPr>
          <w:rFonts w:cs="Arial"/>
          <w:sz w:val="24"/>
          <w:szCs w:val="24"/>
        </w:rPr>
      </w:pPr>
      <w:r w:rsidRPr="007B2EEB">
        <w:rPr>
          <w:rFonts w:cs="Arial"/>
          <w:sz w:val="24"/>
          <w:szCs w:val="24"/>
        </w:rPr>
        <w:t>The</w:t>
      </w:r>
      <w:r>
        <w:rPr>
          <w:rFonts w:cs="Arial"/>
          <w:sz w:val="24"/>
          <w:szCs w:val="24"/>
        </w:rPr>
        <w:t xml:space="preserve"> Investment Oversight and Vacancy Control Panel (the Panel)</w:t>
      </w:r>
      <w:r w:rsidRPr="007B2EEB">
        <w:rPr>
          <w:rFonts w:cs="Arial"/>
          <w:sz w:val="24"/>
          <w:szCs w:val="24"/>
        </w:rPr>
        <w:t xml:space="preserve"> is a </w:t>
      </w:r>
      <w:r w:rsidR="00370938">
        <w:rPr>
          <w:rFonts w:cs="Arial"/>
          <w:sz w:val="24"/>
          <w:szCs w:val="24"/>
        </w:rPr>
        <w:t>Panel</w:t>
      </w:r>
      <w:r w:rsidRPr="007B2EEB">
        <w:rPr>
          <w:rFonts w:cs="Arial"/>
          <w:sz w:val="24"/>
          <w:szCs w:val="24"/>
        </w:rPr>
        <w:t xml:space="preserve"> established by the</w:t>
      </w:r>
      <w:r>
        <w:rPr>
          <w:rFonts w:cs="Arial"/>
          <w:sz w:val="24"/>
          <w:szCs w:val="24"/>
        </w:rPr>
        <w:t xml:space="preserve"> Executive</w:t>
      </w:r>
      <w:r w:rsidRPr="007B2EEB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C</w:t>
      </w:r>
      <w:r w:rsidRPr="007B2EEB">
        <w:rPr>
          <w:rFonts w:cs="Arial"/>
          <w:sz w:val="24"/>
          <w:szCs w:val="24"/>
        </w:rPr>
        <w:t xml:space="preserve">ommittee, in accordance with the standard operating procedure (SOP) </w:t>
      </w:r>
      <w:r w:rsidRPr="007B2EEB">
        <w:rPr>
          <w:color w:val="000000"/>
          <w:sz w:val="24"/>
          <w:szCs w:val="24"/>
        </w:rPr>
        <w:t xml:space="preserve">Establishing </w:t>
      </w:r>
      <w:r w:rsidR="009C71CC">
        <w:rPr>
          <w:color w:val="000000"/>
          <w:sz w:val="24"/>
          <w:szCs w:val="24"/>
        </w:rPr>
        <w:t>Subcommittee</w:t>
      </w:r>
      <w:r w:rsidRPr="007B2EEB">
        <w:rPr>
          <w:color w:val="000000"/>
          <w:sz w:val="24"/>
          <w:szCs w:val="24"/>
        </w:rPr>
        <w:t>s and Groups</w:t>
      </w:r>
      <w:r w:rsidRPr="007B2EEB">
        <w:rPr>
          <w:rFonts w:cs="Arial"/>
          <w:sz w:val="24"/>
          <w:szCs w:val="24"/>
        </w:rPr>
        <w:t>.</w:t>
      </w:r>
    </w:p>
    <w:p w14:paraId="23658159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5" w:name="_Toc129939322"/>
      <w:bookmarkStart w:id="6" w:name="_Toc129939489"/>
      <w:bookmarkStart w:id="7" w:name="_Toc129940000"/>
      <w:bookmarkStart w:id="8" w:name="_Toc129940163"/>
      <w:bookmarkStart w:id="9" w:name="_Toc131156886"/>
      <w:r w:rsidRPr="007F1565">
        <w:rPr>
          <w:rFonts w:ascii="Arial" w:hAnsi="Arial" w:cs="Arial"/>
          <w:color w:val="auto"/>
        </w:rPr>
        <w:t>Terms of reference:</w:t>
      </w:r>
      <w:bookmarkEnd w:id="5"/>
      <w:bookmarkEnd w:id="6"/>
      <w:bookmarkEnd w:id="7"/>
      <w:bookmarkEnd w:id="8"/>
      <w:bookmarkEnd w:id="9"/>
      <w:r w:rsidRPr="007F1565">
        <w:rPr>
          <w:rFonts w:ascii="Arial" w:hAnsi="Arial" w:cs="Arial"/>
          <w:color w:val="auto"/>
        </w:rPr>
        <w:t xml:space="preserve"> </w:t>
      </w:r>
    </w:p>
    <w:p w14:paraId="0EDEAB02" w14:textId="2FEAEBBD" w:rsidR="00180D90" w:rsidRPr="007B2EEB" w:rsidRDefault="007B2EEB" w:rsidP="002755DC">
      <w:pPr>
        <w:pStyle w:val="Indentedparagraph"/>
        <w:jc w:val="both"/>
        <w:rPr>
          <w:rFonts w:cs="Arial"/>
          <w:sz w:val="24"/>
          <w:szCs w:val="24"/>
        </w:rPr>
      </w:pPr>
      <w:r w:rsidRPr="007B2EEB">
        <w:rPr>
          <w:rFonts w:cs="Arial"/>
          <w:b/>
          <w:bCs/>
          <w:sz w:val="24"/>
          <w:szCs w:val="24"/>
        </w:rPr>
        <w:t>Definition of terms:</w:t>
      </w:r>
      <w:r w:rsidRPr="007B2EEB">
        <w:rPr>
          <w:rFonts w:cs="Arial"/>
          <w:sz w:val="24"/>
          <w:szCs w:val="24"/>
        </w:rPr>
        <w:t xml:space="preserve"> </w:t>
      </w:r>
      <w:r w:rsidR="00180D90">
        <w:rPr>
          <w:rFonts w:cs="Arial"/>
          <w:sz w:val="24"/>
          <w:szCs w:val="24"/>
        </w:rPr>
        <w:t xml:space="preserve"> </w:t>
      </w:r>
      <w:r w:rsidR="00180D90" w:rsidRPr="007B2EEB">
        <w:rPr>
          <w:rFonts w:cs="Arial"/>
          <w:sz w:val="24"/>
          <w:szCs w:val="24"/>
        </w:rPr>
        <w:t>The terms of reference template is suggested by the ICB but may be adapted.</w:t>
      </w:r>
    </w:p>
    <w:p w14:paraId="4D47C974" w14:textId="031BC4C2" w:rsidR="007B2EEB" w:rsidRPr="007B2EEB" w:rsidRDefault="007B2EEB" w:rsidP="007B2EEB">
      <w:pPr>
        <w:pStyle w:val="Indentedparagraph"/>
        <w:rPr>
          <w:rFonts w:cs="Arial"/>
          <w:sz w:val="24"/>
          <w:szCs w:val="24"/>
        </w:rPr>
      </w:pPr>
      <w:r w:rsidRPr="007B2EEB">
        <w:rPr>
          <w:rFonts w:cs="Arial"/>
          <w:b/>
          <w:bCs/>
          <w:sz w:val="24"/>
          <w:szCs w:val="24"/>
        </w:rPr>
        <w:t xml:space="preserve">Amendment: </w:t>
      </w:r>
      <w:r w:rsidRPr="007B2EEB">
        <w:rPr>
          <w:rFonts w:cs="Arial"/>
          <w:sz w:val="24"/>
          <w:szCs w:val="24"/>
        </w:rPr>
        <w:t xml:space="preserve"> The terms of reference may be amended in accordance with the provisions set out in this SOP Establishing </w:t>
      </w:r>
      <w:r w:rsidR="009C71CC">
        <w:rPr>
          <w:rFonts w:cs="Arial"/>
          <w:sz w:val="24"/>
          <w:szCs w:val="24"/>
        </w:rPr>
        <w:t>Subcommittee</w:t>
      </w:r>
      <w:r w:rsidRPr="007B2EEB">
        <w:rPr>
          <w:rFonts w:cs="Arial"/>
          <w:sz w:val="24"/>
          <w:szCs w:val="24"/>
        </w:rPr>
        <w:t>s and Groups.</w:t>
      </w:r>
    </w:p>
    <w:p w14:paraId="56084939" w14:textId="59FCBC7A" w:rsidR="007B2EEB" w:rsidRPr="007B2EEB" w:rsidRDefault="007B2EEB" w:rsidP="00180D90">
      <w:pPr>
        <w:pStyle w:val="Indentedparagraph"/>
        <w:jc w:val="both"/>
        <w:rPr>
          <w:rFonts w:cs="Arial"/>
          <w:sz w:val="24"/>
          <w:szCs w:val="24"/>
        </w:rPr>
      </w:pPr>
      <w:r w:rsidRPr="007B2EEB">
        <w:rPr>
          <w:rFonts w:cs="Arial"/>
          <w:b/>
          <w:bCs/>
          <w:sz w:val="24"/>
          <w:szCs w:val="24"/>
        </w:rPr>
        <w:t>Publication:</w:t>
      </w:r>
      <w:r w:rsidRPr="007B2EEB">
        <w:rPr>
          <w:rFonts w:cs="Arial"/>
          <w:sz w:val="24"/>
          <w:szCs w:val="24"/>
        </w:rPr>
        <w:t xml:space="preserve"> The terms of reference will be held by the </w:t>
      </w:r>
      <w:r w:rsidR="00370938">
        <w:rPr>
          <w:rFonts w:cs="Arial"/>
          <w:sz w:val="24"/>
          <w:szCs w:val="24"/>
        </w:rPr>
        <w:t>L</w:t>
      </w:r>
      <w:r w:rsidRPr="007B2EEB">
        <w:rPr>
          <w:rFonts w:cs="Arial"/>
          <w:sz w:val="24"/>
          <w:szCs w:val="24"/>
        </w:rPr>
        <w:t>ead</w:t>
      </w:r>
      <w:r w:rsidR="00370938">
        <w:rPr>
          <w:rFonts w:cs="Arial"/>
          <w:sz w:val="24"/>
          <w:szCs w:val="24"/>
        </w:rPr>
        <w:t xml:space="preserve"> O</w:t>
      </w:r>
      <w:r w:rsidRPr="007B2EEB">
        <w:rPr>
          <w:rFonts w:cs="Arial"/>
          <w:sz w:val="24"/>
          <w:szCs w:val="24"/>
        </w:rPr>
        <w:t xml:space="preserve">fficer of the </w:t>
      </w:r>
      <w:r w:rsidR="00370938">
        <w:rPr>
          <w:rFonts w:cs="Arial"/>
          <w:sz w:val="24"/>
          <w:szCs w:val="24"/>
        </w:rPr>
        <w:t>Panel</w:t>
      </w:r>
      <w:r w:rsidRPr="007B2EEB">
        <w:rPr>
          <w:rFonts w:cs="Arial"/>
          <w:sz w:val="24"/>
          <w:szCs w:val="24"/>
        </w:rPr>
        <w:t xml:space="preserve">. The terms of reference will not be published. </w:t>
      </w:r>
    </w:p>
    <w:p w14:paraId="16EDE0A2" w14:textId="77777777" w:rsidR="007B2EEB" w:rsidRPr="007F1565" w:rsidRDefault="007B2EEB" w:rsidP="007B2EEB">
      <w:pPr>
        <w:pStyle w:val="Heading2"/>
        <w:keepNext w:val="0"/>
        <w:keepLines w:val="0"/>
        <w:widowControl w:val="0"/>
        <w:spacing w:before="240" w:after="120"/>
        <w:ind w:left="567" w:hanging="567"/>
        <w:rPr>
          <w:rFonts w:ascii="Arial" w:hAnsi="Arial" w:cs="Arial"/>
          <w:color w:val="auto"/>
        </w:rPr>
      </w:pPr>
      <w:bookmarkStart w:id="10" w:name="_Toc129939323"/>
      <w:bookmarkStart w:id="11" w:name="_Toc129939490"/>
      <w:bookmarkStart w:id="12" w:name="_Toc129940001"/>
      <w:bookmarkStart w:id="13" w:name="_Toc129940164"/>
      <w:bookmarkStart w:id="14" w:name="_Toc131156887"/>
      <w:r w:rsidRPr="007F1565">
        <w:rPr>
          <w:rFonts w:ascii="Arial" w:hAnsi="Arial" w:cs="Arial"/>
          <w:color w:val="auto"/>
        </w:rPr>
        <w:t>Purpose</w:t>
      </w:r>
      <w:bookmarkEnd w:id="10"/>
      <w:bookmarkEnd w:id="11"/>
      <w:bookmarkEnd w:id="12"/>
      <w:bookmarkEnd w:id="13"/>
      <w:bookmarkEnd w:id="14"/>
    </w:p>
    <w:p w14:paraId="3ECF60EC" w14:textId="530517DC" w:rsidR="007B2EEB" w:rsidRDefault="007B2EEB" w:rsidP="00180D90">
      <w:pPr>
        <w:pStyle w:val="NormalWeb"/>
        <w:ind w:left="567"/>
        <w:jc w:val="both"/>
        <w:rPr>
          <w:rFonts w:ascii="Arial" w:hAnsi="Arial" w:cs="Arial"/>
        </w:rPr>
      </w:pPr>
      <w:r w:rsidRPr="00180D90">
        <w:rPr>
          <w:rFonts w:ascii="Arial" w:hAnsi="Arial" w:cs="Arial"/>
        </w:rPr>
        <w:t xml:space="preserve">The purpose is of the </w:t>
      </w:r>
      <w:r w:rsidR="00180D90">
        <w:rPr>
          <w:rFonts w:ascii="Arial" w:hAnsi="Arial" w:cs="Arial"/>
        </w:rPr>
        <w:t>Panel</w:t>
      </w:r>
      <w:r w:rsidRPr="00180D90">
        <w:rPr>
          <w:rFonts w:ascii="Arial" w:hAnsi="Arial" w:cs="Arial"/>
        </w:rPr>
        <w:t xml:space="preserve"> is to support the </w:t>
      </w:r>
      <w:r w:rsidR="00180D90">
        <w:rPr>
          <w:rFonts w:ascii="Arial" w:hAnsi="Arial" w:cs="Arial"/>
        </w:rPr>
        <w:t>Executive</w:t>
      </w:r>
      <w:r w:rsidRPr="00180D90">
        <w:rPr>
          <w:rFonts w:ascii="Arial" w:hAnsi="Arial" w:cs="Arial"/>
        </w:rPr>
        <w:t xml:space="preserve"> </w:t>
      </w:r>
      <w:r w:rsidR="00180D90">
        <w:rPr>
          <w:rFonts w:ascii="Arial" w:hAnsi="Arial" w:cs="Arial"/>
        </w:rPr>
        <w:t>C</w:t>
      </w:r>
      <w:r w:rsidRPr="00180D90">
        <w:rPr>
          <w:rFonts w:ascii="Arial" w:hAnsi="Arial" w:cs="Arial"/>
        </w:rPr>
        <w:t>ommittee</w:t>
      </w:r>
      <w:r w:rsidRPr="00180D90">
        <w:rPr>
          <w:rFonts w:cs="Arial"/>
        </w:rPr>
        <w:t xml:space="preserve"> </w:t>
      </w:r>
      <w:r w:rsidR="00180D90">
        <w:rPr>
          <w:rFonts w:ascii="Arial" w:hAnsi="Arial" w:cs="Arial"/>
        </w:rPr>
        <w:t>with the application of additional financial controls within the ICB</w:t>
      </w:r>
      <w:r w:rsidRPr="00180D90">
        <w:rPr>
          <w:rFonts w:ascii="Arial" w:hAnsi="Arial" w:cs="Arial"/>
        </w:rPr>
        <w:t>.</w:t>
      </w:r>
      <w:r w:rsidR="00180D90">
        <w:rPr>
          <w:rFonts w:ascii="Arial" w:hAnsi="Arial" w:cs="Arial"/>
        </w:rPr>
        <w:t xml:space="preserve">  This will satisfy the requirements of the standard financial controls and associated conditions required by NHS England</w:t>
      </w:r>
      <w:r w:rsidR="00F23314">
        <w:rPr>
          <w:rFonts w:ascii="Arial" w:hAnsi="Arial" w:cs="Arial"/>
        </w:rPr>
        <w:t xml:space="preserve"> (NHSE)</w:t>
      </w:r>
      <w:r w:rsidR="00180D90">
        <w:rPr>
          <w:rFonts w:ascii="Arial" w:hAnsi="Arial" w:cs="Arial"/>
        </w:rPr>
        <w:t>, in line with the approach agreed across the ICS, and support delivery of the financial plan for 2024/25.</w:t>
      </w:r>
    </w:p>
    <w:p w14:paraId="0D44DF11" w14:textId="77777777" w:rsidR="00180D90" w:rsidRDefault="00180D90" w:rsidP="00180D90">
      <w:pPr>
        <w:pStyle w:val="NormalWeb"/>
        <w:ind w:left="567"/>
        <w:jc w:val="both"/>
        <w:rPr>
          <w:rFonts w:ascii="Arial" w:hAnsi="Arial" w:cs="Arial"/>
        </w:rPr>
      </w:pPr>
    </w:p>
    <w:p w14:paraId="584F8BDF" w14:textId="2586F970" w:rsidR="00180D90" w:rsidRDefault="00180D90" w:rsidP="00180D90">
      <w:pPr>
        <w:pStyle w:val="NormalWeb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Panel will review and consider approval of any new discretionary non-pay spend between £10k and £250k, in line with the process agreed by the Executive Committee.</w:t>
      </w:r>
    </w:p>
    <w:p w14:paraId="3A475B30" w14:textId="77777777" w:rsidR="00180D90" w:rsidRDefault="00180D90" w:rsidP="00180D90">
      <w:pPr>
        <w:pStyle w:val="NormalWeb"/>
        <w:ind w:left="567"/>
        <w:jc w:val="both"/>
        <w:rPr>
          <w:rFonts w:ascii="Arial" w:hAnsi="Arial" w:cs="Arial"/>
        </w:rPr>
      </w:pPr>
    </w:p>
    <w:p w14:paraId="3EBB7889" w14:textId="00F0F891" w:rsidR="00180D90" w:rsidRDefault="00180D90" w:rsidP="00180D90">
      <w:pPr>
        <w:pStyle w:val="NormalWeb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 Panel </w:t>
      </w:r>
      <w:proofErr w:type="gramStart"/>
      <w:r>
        <w:rPr>
          <w:rFonts w:ascii="Arial" w:hAnsi="Arial" w:cs="Arial"/>
        </w:rPr>
        <w:t>will ,consider</w:t>
      </w:r>
      <w:proofErr w:type="gramEnd"/>
      <w:r>
        <w:rPr>
          <w:rFonts w:ascii="Arial" w:hAnsi="Arial" w:cs="Arial"/>
        </w:rPr>
        <w:t xml:space="preserve"> both recruitment items (e.g. between £10k and £250k on a recurrent basis) and non-recurrent one off items within the same limits.  All proposals should </w:t>
      </w:r>
      <w:r w:rsidR="00F23314">
        <w:rPr>
          <w:rFonts w:ascii="Arial" w:hAnsi="Arial" w:cs="Arial"/>
        </w:rPr>
        <w:t>h</w:t>
      </w:r>
      <w:r>
        <w:rPr>
          <w:rFonts w:ascii="Arial" w:hAnsi="Arial" w:cs="Arial"/>
        </w:rPr>
        <w:t xml:space="preserve">ave an agreed funding </w:t>
      </w:r>
      <w:r w:rsidR="00F23314">
        <w:rPr>
          <w:rFonts w:ascii="Arial" w:hAnsi="Arial" w:cs="Arial"/>
        </w:rPr>
        <w:t>source per NHSE expectations.</w:t>
      </w:r>
    </w:p>
    <w:p w14:paraId="40D42517" w14:textId="77777777" w:rsidR="00F23314" w:rsidRDefault="00F23314" w:rsidP="00180D90">
      <w:pPr>
        <w:pStyle w:val="NormalWeb"/>
        <w:ind w:left="567"/>
        <w:jc w:val="both"/>
        <w:rPr>
          <w:rFonts w:ascii="Arial" w:hAnsi="Arial" w:cs="Arial"/>
        </w:rPr>
      </w:pPr>
    </w:p>
    <w:p w14:paraId="7A808BF9" w14:textId="615C0BAF" w:rsidR="00F23314" w:rsidRPr="00180D90" w:rsidRDefault="00F23314" w:rsidP="00180D90">
      <w:pPr>
        <w:pStyle w:val="NormalWeb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The Panel will review and consider approval of all vacancies with the ICB, following sign off by the responsible Chief Officer.</w:t>
      </w:r>
    </w:p>
    <w:p w14:paraId="34C60ECF" w14:textId="77777777" w:rsidR="007B2EEB" w:rsidRPr="00180D90" w:rsidRDefault="007B2EEB" w:rsidP="00180D90">
      <w:pPr>
        <w:pStyle w:val="NormalWeb"/>
        <w:ind w:left="567"/>
        <w:jc w:val="both"/>
        <w:rPr>
          <w:rFonts w:ascii="Arial" w:hAnsi="Arial" w:cs="Arial"/>
        </w:rPr>
      </w:pPr>
    </w:p>
    <w:p w14:paraId="2D32E335" w14:textId="77777777" w:rsidR="007B2EEB" w:rsidRDefault="007B2EEB" w:rsidP="007B2EEB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15" w:name="_Toc129939324"/>
      <w:bookmarkStart w:id="16" w:name="_Toc129939491"/>
      <w:bookmarkStart w:id="17" w:name="_Toc129940002"/>
      <w:bookmarkStart w:id="18" w:name="_Toc129940165"/>
      <w:bookmarkStart w:id="19" w:name="_Toc131156888"/>
      <w:r>
        <w:t>Roles and responsibilities</w:t>
      </w:r>
      <w:bookmarkEnd w:id="15"/>
      <w:bookmarkEnd w:id="16"/>
      <w:bookmarkEnd w:id="17"/>
      <w:bookmarkEnd w:id="18"/>
      <w:bookmarkEnd w:id="19"/>
    </w:p>
    <w:p w14:paraId="14433116" w14:textId="70DF7B3F" w:rsidR="007B2EEB" w:rsidRDefault="007B2EEB" w:rsidP="00F23314">
      <w:pPr>
        <w:pStyle w:val="Indentedparagraph"/>
        <w:jc w:val="both"/>
        <w:rPr>
          <w:rFonts w:cs="Arial"/>
        </w:rPr>
      </w:pPr>
      <w:r w:rsidRPr="00F23314">
        <w:rPr>
          <w:rFonts w:cs="Arial"/>
          <w:sz w:val="24"/>
          <w:szCs w:val="24"/>
        </w:rPr>
        <w:t>This section</w:t>
      </w:r>
      <w:r>
        <w:rPr>
          <w:rFonts w:cs="Arial"/>
        </w:rPr>
        <w:t xml:space="preserve"> </w:t>
      </w:r>
      <w:r w:rsidRPr="00F23314">
        <w:rPr>
          <w:rFonts w:cs="Arial"/>
          <w:sz w:val="24"/>
          <w:szCs w:val="24"/>
        </w:rPr>
        <w:t xml:space="preserve">describes the </w:t>
      </w:r>
      <w:r w:rsidR="00F23314" w:rsidRPr="00F23314">
        <w:rPr>
          <w:rFonts w:cs="Arial"/>
          <w:sz w:val="24"/>
          <w:szCs w:val="24"/>
        </w:rPr>
        <w:t>Panel's</w:t>
      </w:r>
      <w:r w:rsidRPr="00F23314">
        <w:rPr>
          <w:rFonts w:cs="Arial"/>
          <w:sz w:val="24"/>
          <w:szCs w:val="24"/>
        </w:rPr>
        <w:t xml:space="preserve"> duties, authority, </w:t>
      </w:r>
      <w:proofErr w:type="gramStart"/>
      <w:r w:rsidRPr="00F23314">
        <w:rPr>
          <w:rFonts w:cs="Arial"/>
          <w:sz w:val="24"/>
          <w:szCs w:val="24"/>
        </w:rPr>
        <w:t>accountability</w:t>
      </w:r>
      <w:proofErr w:type="gramEnd"/>
      <w:r w:rsidRPr="00F23314">
        <w:rPr>
          <w:rFonts w:cs="Arial"/>
          <w:sz w:val="24"/>
          <w:szCs w:val="24"/>
        </w:rPr>
        <w:t xml:space="preserve"> and reporting.</w:t>
      </w:r>
    </w:p>
    <w:p w14:paraId="70BEE1BF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20" w:name="_Toc129939325"/>
      <w:bookmarkStart w:id="21" w:name="_Toc129939492"/>
      <w:bookmarkStart w:id="22" w:name="_Toc129940003"/>
      <w:bookmarkStart w:id="23" w:name="_Toc129940166"/>
      <w:bookmarkStart w:id="24" w:name="_Toc131156889"/>
      <w:r w:rsidRPr="007F1565">
        <w:rPr>
          <w:rFonts w:ascii="Arial" w:hAnsi="Arial" w:cs="Arial"/>
          <w:color w:val="auto"/>
        </w:rPr>
        <w:t>Duties</w:t>
      </w:r>
      <w:bookmarkEnd w:id="20"/>
      <w:bookmarkEnd w:id="21"/>
      <w:bookmarkEnd w:id="22"/>
      <w:bookmarkEnd w:id="23"/>
      <w:bookmarkEnd w:id="24"/>
      <w:r w:rsidRPr="007F1565">
        <w:rPr>
          <w:rFonts w:ascii="Arial" w:hAnsi="Arial" w:cs="Arial"/>
          <w:color w:val="auto"/>
        </w:rPr>
        <w:t xml:space="preserve"> </w:t>
      </w:r>
    </w:p>
    <w:p w14:paraId="65E74489" w14:textId="56526291" w:rsidR="007B2EEB" w:rsidRDefault="007B2EEB" w:rsidP="007B2EEB">
      <w:pPr>
        <w:ind w:left="567"/>
        <w:rPr>
          <w:color w:val="000000" w:themeColor="text1"/>
          <w:sz w:val="22"/>
          <w:szCs w:val="22"/>
        </w:rPr>
      </w:pPr>
      <w:r w:rsidRPr="00F23314">
        <w:rPr>
          <w:color w:val="000000" w:themeColor="text1"/>
          <w:sz w:val="22"/>
          <w:szCs w:val="22"/>
        </w:rPr>
        <w:t xml:space="preserve">The </w:t>
      </w:r>
      <w:r w:rsidR="00F60439">
        <w:rPr>
          <w:color w:val="000000" w:themeColor="text1"/>
          <w:sz w:val="22"/>
          <w:szCs w:val="22"/>
        </w:rPr>
        <w:t>Panel's</w:t>
      </w:r>
      <w:r w:rsidRPr="00F23314">
        <w:rPr>
          <w:color w:val="000000" w:themeColor="text1"/>
          <w:sz w:val="22"/>
          <w:szCs w:val="22"/>
        </w:rPr>
        <w:t xml:space="preserve"> duties are as follows: </w:t>
      </w:r>
    </w:p>
    <w:p w14:paraId="3B4C1E9C" w14:textId="77777777" w:rsidR="00F60439" w:rsidRDefault="00F60439" w:rsidP="007B2EEB">
      <w:pPr>
        <w:ind w:left="567"/>
        <w:rPr>
          <w:color w:val="000000" w:themeColor="text1"/>
          <w:sz w:val="22"/>
          <w:szCs w:val="22"/>
        </w:rPr>
      </w:pPr>
    </w:p>
    <w:p w14:paraId="79FA5CD4" w14:textId="27AA9D85" w:rsidR="00F60439" w:rsidRDefault="00F60439" w:rsidP="00F60439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Review any new discretionary non pay spend requests over £10k but less than £250k.  Where appropriate, requests will be approved by the Panel in line with delegated authority of Members of the Panel will be recommended to the Executive Committee for approval.</w:t>
      </w:r>
    </w:p>
    <w:p w14:paraId="11767424" w14:textId="77777777" w:rsidR="00F60439" w:rsidRDefault="00F60439" w:rsidP="00F60439">
      <w:pPr>
        <w:pStyle w:val="ListParagraph"/>
        <w:ind w:left="1287"/>
        <w:jc w:val="both"/>
        <w:rPr>
          <w:color w:val="000000" w:themeColor="text1"/>
        </w:rPr>
      </w:pPr>
    </w:p>
    <w:p w14:paraId="0C7397CB" w14:textId="3D59EB0F" w:rsidR="00F60439" w:rsidRDefault="00F60439" w:rsidP="00F60439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>Review vacancies following completion of vacancy control form, against the needs of the ICB.  The rationale for approving/declining posts will be documented and reported to the Executive Committee.</w:t>
      </w:r>
    </w:p>
    <w:p w14:paraId="14380C8A" w14:textId="77777777" w:rsidR="00F60439" w:rsidRPr="00F60439" w:rsidRDefault="00F60439" w:rsidP="00F60439">
      <w:pPr>
        <w:pStyle w:val="ListParagraph"/>
        <w:rPr>
          <w:color w:val="000000" w:themeColor="text1"/>
        </w:rPr>
      </w:pPr>
    </w:p>
    <w:p w14:paraId="59CC7883" w14:textId="47FDD5F1" w:rsidR="00F60439" w:rsidRDefault="00F60439" w:rsidP="00F60439">
      <w:pPr>
        <w:pStyle w:val="ListParagraph"/>
        <w:numPr>
          <w:ilvl w:val="0"/>
          <w:numId w:val="6"/>
        </w:numPr>
        <w:jc w:val="both"/>
        <w:rPr>
          <w:color w:val="000000" w:themeColor="text1"/>
        </w:rPr>
      </w:pPr>
      <w:r>
        <w:rPr>
          <w:color w:val="000000" w:themeColor="text1"/>
        </w:rPr>
        <w:t xml:space="preserve">Provide a summary of decisions made to the Executive and Finance, </w:t>
      </w:r>
      <w:proofErr w:type="gramStart"/>
      <w:r>
        <w:rPr>
          <w:color w:val="000000" w:themeColor="text1"/>
        </w:rPr>
        <w:t>Performance</w:t>
      </w:r>
      <w:proofErr w:type="gramEnd"/>
      <w:r>
        <w:rPr>
          <w:color w:val="000000" w:themeColor="text1"/>
        </w:rPr>
        <w:t xml:space="preserve"> and Investment Committees on the outcomes of business case submissions / non pay investments considered, including a clear and </w:t>
      </w:r>
      <w:r>
        <w:rPr>
          <w:color w:val="000000" w:themeColor="text1"/>
        </w:rPr>
        <w:lastRenderedPageBreak/>
        <w:t>robust rational for the additional expenditure occurred as well as alignment to the delivery of decisions made and relevant papers to NHSE's Regional Team.</w:t>
      </w:r>
    </w:p>
    <w:p w14:paraId="743D2830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25" w:name="_Toc129939326"/>
      <w:bookmarkStart w:id="26" w:name="_Toc129939493"/>
      <w:bookmarkStart w:id="27" w:name="_Toc129940004"/>
      <w:bookmarkStart w:id="28" w:name="_Toc129940167"/>
      <w:bookmarkStart w:id="29" w:name="_Toc131156890"/>
      <w:r w:rsidRPr="007F1565">
        <w:rPr>
          <w:rFonts w:ascii="Arial" w:hAnsi="Arial" w:cs="Arial"/>
          <w:color w:val="auto"/>
        </w:rPr>
        <w:t>Authority</w:t>
      </w:r>
      <w:bookmarkEnd w:id="25"/>
      <w:bookmarkEnd w:id="26"/>
      <w:bookmarkEnd w:id="27"/>
      <w:bookmarkEnd w:id="28"/>
      <w:bookmarkEnd w:id="29"/>
    </w:p>
    <w:tbl>
      <w:tblPr>
        <w:tblStyle w:val="TableGrid"/>
        <w:tblW w:w="8940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6240"/>
      </w:tblGrid>
      <w:tr w:rsidR="007B2EEB" w:rsidRPr="00F60439" w14:paraId="32594565" w14:textId="77777777" w:rsidTr="009C71CC">
        <w:trPr>
          <w:trHeight w:val="536"/>
          <w:tblHeader/>
        </w:trPr>
        <w:tc>
          <w:tcPr>
            <w:tcW w:w="8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693BB345" w14:textId="3071A226" w:rsidR="007B2EEB" w:rsidRPr="00F60439" w:rsidRDefault="007B2EEB">
            <w:pPr>
              <w:ind w:right="2974"/>
              <w:rPr>
                <w:b/>
                <w:bCs/>
              </w:rPr>
            </w:pPr>
            <w:r w:rsidRPr="00F60439">
              <w:rPr>
                <w:b/>
                <w:bCs/>
              </w:rPr>
              <w:t xml:space="preserve">The </w:t>
            </w:r>
            <w:r w:rsidR="00370938">
              <w:rPr>
                <w:b/>
                <w:bCs/>
              </w:rPr>
              <w:t>Panel</w:t>
            </w:r>
            <w:r w:rsidRPr="00F60439">
              <w:rPr>
                <w:b/>
                <w:bCs/>
              </w:rPr>
              <w:t xml:space="preserve"> is authorised to:</w:t>
            </w:r>
          </w:p>
        </w:tc>
      </w:tr>
      <w:tr w:rsidR="007B2EEB" w:rsidRPr="00F60439" w14:paraId="7AC0B985" w14:textId="77777777" w:rsidTr="00F60439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C7F9AD" w14:textId="77777777" w:rsidR="007B2EEB" w:rsidRPr="00F60439" w:rsidRDefault="007B2EEB">
            <w:pPr>
              <w:ind w:right="-397"/>
              <w:rPr>
                <w:b/>
                <w:bCs/>
              </w:rPr>
            </w:pPr>
            <w:r w:rsidRPr="00F60439">
              <w:rPr>
                <w:b/>
                <w:bCs/>
              </w:rPr>
              <w:t>Investigate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C22E5A" w14:textId="77777777" w:rsidR="007B2EEB" w:rsidRPr="00F60439" w:rsidRDefault="007B2EEB" w:rsidP="00B3286A">
            <w:pPr>
              <w:ind w:right="179"/>
              <w:jc w:val="both"/>
            </w:pPr>
            <w:r w:rsidRPr="00F60439">
              <w:t>Investigate any activity within its terms of reference.</w:t>
            </w:r>
          </w:p>
          <w:p w14:paraId="4B78F7A1" w14:textId="77777777" w:rsidR="007B2EEB" w:rsidRPr="00F60439" w:rsidRDefault="007B2EEB">
            <w:pPr>
              <w:ind w:right="179"/>
            </w:pPr>
          </w:p>
        </w:tc>
      </w:tr>
      <w:tr w:rsidR="007B2EEB" w:rsidRPr="00F60439" w14:paraId="64D914B8" w14:textId="77777777" w:rsidTr="00F60439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E9A21F2" w14:textId="77777777" w:rsidR="007B2EEB" w:rsidRPr="00F60439" w:rsidRDefault="007B2EEB">
            <w:pPr>
              <w:ind w:right="-397"/>
              <w:rPr>
                <w:b/>
                <w:bCs/>
              </w:rPr>
            </w:pPr>
            <w:r w:rsidRPr="00F60439">
              <w:rPr>
                <w:b/>
                <w:bCs/>
              </w:rPr>
              <w:t>Request information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1519DC" w14:textId="58904A7C" w:rsidR="007B2EEB" w:rsidRPr="00F60439" w:rsidRDefault="007B2EEB" w:rsidP="00B3286A">
            <w:pPr>
              <w:ind w:right="179"/>
              <w:jc w:val="both"/>
            </w:pPr>
            <w:r w:rsidRPr="00F60439">
              <w:t xml:space="preserve">Request any information it requires within its remit, from any employee or </w:t>
            </w:r>
            <w:r w:rsidR="00F60439">
              <w:t>M</w:t>
            </w:r>
            <w:r w:rsidRPr="00F60439">
              <w:t>ember of the Board.</w:t>
            </w:r>
          </w:p>
          <w:p w14:paraId="668DB156" w14:textId="77777777" w:rsidR="007B2EEB" w:rsidRPr="00F60439" w:rsidRDefault="007B2EEB">
            <w:pPr>
              <w:ind w:right="179"/>
            </w:pPr>
          </w:p>
        </w:tc>
      </w:tr>
      <w:tr w:rsidR="007B2EEB" w:rsidRPr="00F60439" w14:paraId="3AEE531C" w14:textId="77777777" w:rsidTr="00F60439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FCC6EF" w14:textId="77777777" w:rsidR="007B2EEB" w:rsidRPr="00F60439" w:rsidRDefault="007B2EEB">
            <w:pPr>
              <w:ind w:right="-397"/>
              <w:rPr>
                <w:b/>
                <w:bCs/>
              </w:rPr>
            </w:pPr>
            <w:r w:rsidRPr="00F60439">
              <w:rPr>
                <w:b/>
                <w:bCs/>
              </w:rPr>
              <w:t>Obtain advice</w:t>
            </w: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68B4D6" w14:textId="406B9DD4" w:rsidR="007B2EEB" w:rsidRPr="00F60439" w:rsidRDefault="007B2EEB" w:rsidP="00B3286A">
            <w:pPr>
              <w:ind w:right="179"/>
              <w:jc w:val="both"/>
            </w:pPr>
            <w:r w:rsidRPr="00F60439">
              <w:t xml:space="preserve">Obtain independent professional advice and secure the attendance of advisors with relevant expertise to fulfil its functions.  In doing so, the </w:t>
            </w:r>
            <w:r w:rsidR="00370938">
              <w:t>Panel</w:t>
            </w:r>
            <w:r w:rsidRPr="00F60439">
              <w:t xml:space="preserve"> must follow any procedures put in place by the ICB for obtaining professional advice.</w:t>
            </w:r>
          </w:p>
          <w:p w14:paraId="7DEE52E0" w14:textId="77777777" w:rsidR="007B2EEB" w:rsidRPr="00F60439" w:rsidRDefault="007B2EEB">
            <w:pPr>
              <w:ind w:right="179"/>
              <w:rPr>
                <w:highlight w:val="yellow"/>
              </w:rPr>
            </w:pPr>
          </w:p>
        </w:tc>
      </w:tr>
      <w:tr w:rsidR="00F60439" w:rsidRPr="00F60439" w14:paraId="7C333482" w14:textId="77777777" w:rsidTr="00F60439">
        <w:tc>
          <w:tcPr>
            <w:tcW w:w="26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D62F55" w14:textId="6127EB4C" w:rsidR="00F60439" w:rsidRPr="00F60439" w:rsidRDefault="00F60439">
            <w:pPr>
              <w:ind w:right="-397"/>
              <w:rPr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E2C884" w14:textId="124FD11D" w:rsidR="00F60439" w:rsidRPr="00F60439" w:rsidRDefault="00F60439" w:rsidP="00B3286A">
            <w:pPr>
              <w:ind w:right="179"/>
              <w:jc w:val="both"/>
            </w:pPr>
          </w:p>
        </w:tc>
      </w:tr>
    </w:tbl>
    <w:p w14:paraId="1EF3BA2D" w14:textId="6B53DFD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30" w:name="_Toc129939327"/>
      <w:bookmarkStart w:id="31" w:name="_Toc129939494"/>
      <w:bookmarkStart w:id="32" w:name="_Toc129940005"/>
      <w:bookmarkStart w:id="33" w:name="_Toc129940168"/>
      <w:bookmarkStart w:id="34" w:name="_Toc131156891"/>
      <w:r w:rsidRPr="007F1565">
        <w:rPr>
          <w:rFonts w:ascii="Arial" w:hAnsi="Arial" w:cs="Arial"/>
          <w:color w:val="auto"/>
        </w:rPr>
        <w:t>Accountability</w:t>
      </w:r>
      <w:bookmarkEnd w:id="30"/>
      <w:bookmarkEnd w:id="31"/>
      <w:bookmarkEnd w:id="32"/>
      <w:bookmarkEnd w:id="33"/>
      <w:bookmarkEnd w:id="34"/>
      <w:r w:rsidR="006172E4" w:rsidRPr="007F1565">
        <w:rPr>
          <w:rFonts w:ascii="Arial" w:hAnsi="Arial" w:cs="Arial"/>
          <w:color w:val="auto"/>
        </w:rPr>
        <w:t xml:space="preserve"> </w:t>
      </w:r>
    </w:p>
    <w:p w14:paraId="073A125D" w14:textId="34CD298B" w:rsidR="007B2EEB" w:rsidRPr="006172E4" w:rsidRDefault="007B2EEB" w:rsidP="006172E4">
      <w:pPr>
        <w:pStyle w:val="Indentedparagraph"/>
        <w:jc w:val="both"/>
        <w:rPr>
          <w:rFonts w:cs="Arial"/>
          <w:sz w:val="24"/>
          <w:szCs w:val="24"/>
        </w:rPr>
      </w:pPr>
      <w:r w:rsidRPr="006172E4">
        <w:rPr>
          <w:rFonts w:cs="Arial"/>
          <w:sz w:val="24"/>
          <w:szCs w:val="24"/>
        </w:rPr>
        <w:t xml:space="preserve">The </w:t>
      </w:r>
      <w:r w:rsidR="006172E4">
        <w:rPr>
          <w:rFonts w:cs="Arial"/>
          <w:sz w:val="24"/>
          <w:szCs w:val="24"/>
        </w:rPr>
        <w:t>Panel</w:t>
      </w:r>
      <w:r w:rsidRPr="006172E4">
        <w:rPr>
          <w:rFonts w:cs="Arial"/>
          <w:sz w:val="24"/>
          <w:szCs w:val="24"/>
        </w:rPr>
        <w:t xml:space="preserve"> is accountable</w:t>
      </w:r>
      <w:r w:rsidR="006172E4">
        <w:rPr>
          <w:rFonts w:cs="Arial"/>
          <w:sz w:val="24"/>
          <w:szCs w:val="24"/>
        </w:rPr>
        <w:t xml:space="preserve"> to the Executive Committee and will report to the Committee on how it discharges its responsibilities, provide a summary report to each meeting.  A record of decisions of non-pay investments will also be shared with NHSE (as per requirements).</w:t>
      </w:r>
    </w:p>
    <w:p w14:paraId="59DF2E3C" w14:textId="77777777" w:rsidR="007B2EEB" w:rsidRPr="006172E4" w:rsidRDefault="007B2EEB" w:rsidP="007B2EEB">
      <w:pPr>
        <w:pStyle w:val="NormalWeb"/>
        <w:rPr>
          <w:rFonts w:ascii="Arial" w:hAnsi="Arial" w:cs="Arial"/>
        </w:rPr>
      </w:pPr>
      <w:r w:rsidRPr="006172E4">
        <w:rPr>
          <w:rFonts w:ascii="Arial" w:hAnsi="Arial" w:cs="Arial"/>
        </w:rPr>
        <w:tab/>
      </w:r>
    </w:p>
    <w:tbl>
      <w:tblPr>
        <w:tblStyle w:val="TableGrid"/>
        <w:tblW w:w="8940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3"/>
        <w:gridCol w:w="612"/>
        <w:gridCol w:w="6735"/>
      </w:tblGrid>
      <w:tr w:rsidR="007B2EEB" w:rsidRPr="006172E4" w14:paraId="0FFE888C" w14:textId="77777777" w:rsidTr="009C71CC">
        <w:trPr>
          <w:trHeight w:val="536"/>
        </w:trPr>
        <w:tc>
          <w:tcPr>
            <w:tcW w:w="22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61FD9354" w14:textId="77777777" w:rsidR="007B2EEB" w:rsidRPr="006172E4" w:rsidRDefault="007B2EEB">
            <w:pPr>
              <w:pStyle w:val="ListParagraph"/>
              <w:ind w:left="42"/>
              <w:rPr>
                <w:b/>
                <w:bCs/>
                <w:color w:val="000000" w:themeColor="text1"/>
              </w:rPr>
            </w:pPr>
            <w:r w:rsidRPr="006172E4">
              <w:rPr>
                <w:b/>
                <w:bCs/>
                <w:color w:val="000000" w:themeColor="text1"/>
              </w:rPr>
              <w:t>Accountabilities</w:t>
            </w:r>
          </w:p>
        </w:tc>
        <w:tc>
          <w:tcPr>
            <w:tcW w:w="67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5809EE0F" w14:textId="77777777" w:rsidR="007B2EEB" w:rsidRPr="006172E4" w:rsidRDefault="007B2EEB">
            <w:pPr>
              <w:pStyle w:val="ListParagraph"/>
              <w:rPr>
                <w:b/>
                <w:bCs/>
                <w:color w:val="000000" w:themeColor="text1"/>
              </w:rPr>
            </w:pPr>
            <w:r w:rsidRPr="006172E4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7B2EEB" w:rsidRPr="006172E4" w14:paraId="34447871" w14:textId="77777777" w:rsidTr="007B2EEB"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C92732" w14:textId="77777777" w:rsidR="007B2EEB" w:rsidRPr="006172E4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6172E4">
              <w:rPr>
                <w:b/>
                <w:bCs/>
                <w:color w:val="000000" w:themeColor="text1"/>
              </w:rPr>
              <w:t>Draft notes and reports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5EE956" w14:textId="5897C9EC" w:rsidR="006172E4" w:rsidRDefault="006172E4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The Executive Committee will receive a summary report form each meeting of the Panel.</w:t>
            </w:r>
          </w:p>
          <w:p w14:paraId="3D84757C" w14:textId="2B2AD2C5" w:rsidR="006172E4" w:rsidRDefault="006172E4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NHSE Regional Finance Officer will receive summary report of non-pay </w:t>
            </w:r>
            <w:r w:rsidR="00FF7422">
              <w:rPr>
                <w:rFonts w:cs="Arial"/>
                <w:sz w:val="24"/>
                <w:szCs w:val="24"/>
              </w:rPr>
              <w:t>investment decisions.</w:t>
            </w:r>
          </w:p>
          <w:p w14:paraId="69F175D0" w14:textId="06EB408B" w:rsidR="007B2EEB" w:rsidRDefault="007B2EEB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172E4">
              <w:rPr>
                <w:rFonts w:cs="Arial"/>
                <w:sz w:val="24"/>
                <w:szCs w:val="24"/>
              </w:rPr>
              <w:t xml:space="preserve">It is good practice for a </w:t>
            </w:r>
            <w:r w:rsidR="00370938">
              <w:rPr>
                <w:rFonts w:cs="Arial"/>
                <w:sz w:val="24"/>
                <w:szCs w:val="24"/>
              </w:rPr>
              <w:t>Panel</w:t>
            </w:r>
            <w:r w:rsidRPr="006172E4">
              <w:rPr>
                <w:rFonts w:cs="Arial"/>
                <w:sz w:val="24"/>
                <w:szCs w:val="24"/>
              </w:rPr>
              <w:t xml:space="preserve"> member will make concise notes of each meeting. </w:t>
            </w:r>
          </w:p>
          <w:p w14:paraId="552B8911" w14:textId="10ECCFCE" w:rsidR="00FF7422" w:rsidRPr="006172E4" w:rsidRDefault="00FF7422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FF7422">
              <w:rPr>
                <w:rFonts w:cs="Arial"/>
                <w:sz w:val="24"/>
                <w:szCs w:val="24"/>
              </w:rPr>
              <w:t xml:space="preserve">On request, the </w:t>
            </w:r>
            <w:r w:rsidR="00370938">
              <w:rPr>
                <w:rFonts w:cs="Arial"/>
                <w:sz w:val="24"/>
                <w:szCs w:val="24"/>
              </w:rPr>
              <w:t>C</w:t>
            </w:r>
            <w:r w:rsidRPr="00FF7422">
              <w:rPr>
                <w:rFonts w:cs="Arial"/>
                <w:sz w:val="24"/>
                <w:szCs w:val="24"/>
              </w:rPr>
              <w:t>hair of the Panel may report to its parent committee (if established by those bodies).</w:t>
            </w:r>
          </w:p>
          <w:p w14:paraId="448258E7" w14:textId="2C66A258" w:rsidR="007B2EEB" w:rsidRPr="006172E4" w:rsidRDefault="007B2EEB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172E4">
              <w:rPr>
                <w:rFonts w:cs="Arial"/>
                <w:sz w:val="24"/>
                <w:szCs w:val="24"/>
              </w:rPr>
              <w:t xml:space="preserve">The </w:t>
            </w:r>
            <w:r w:rsidR="00FF7422">
              <w:rPr>
                <w:rFonts w:cs="Arial"/>
                <w:sz w:val="24"/>
                <w:szCs w:val="24"/>
              </w:rPr>
              <w:t>C</w:t>
            </w:r>
            <w:r w:rsidRPr="006172E4">
              <w:rPr>
                <w:rFonts w:cs="Arial"/>
                <w:sz w:val="24"/>
                <w:szCs w:val="24"/>
              </w:rPr>
              <w:t xml:space="preserve">hair of the </w:t>
            </w:r>
            <w:r w:rsidR="00FF7422">
              <w:rPr>
                <w:rFonts w:cs="Arial"/>
                <w:sz w:val="24"/>
                <w:szCs w:val="24"/>
              </w:rPr>
              <w:t>Panel</w:t>
            </w:r>
            <w:r w:rsidRPr="006172E4">
              <w:rPr>
                <w:rFonts w:cs="Arial"/>
                <w:sz w:val="24"/>
                <w:szCs w:val="24"/>
              </w:rPr>
              <w:t xml:space="preserve"> may escalate any concerns, to the parent committee</w:t>
            </w:r>
            <w:r w:rsidR="00FF7422">
              <w:rPr>
                <w:rFonts w:cs="Arial"/>
                <w:sz w:val="24"/>
                <w:szCs w:val="24"/>
              </w:rPr>
              <w:t xml:space="preserve"> </w:t>
            </w:r>
            <w:r w:rsidRPr="006172E4">
              <w:rPr>
                <w:rFonts w:cs="Arial"/>
                <w:sz w:val="24"/>
                <w:szCs w:val="24"/>
              </w:rPr>
              <w:t>(if established by those bodies) as they arise.</w:t>
            </w:r>
          </w:p>
          <w:p w14:paraId="57996F02" w14:textId="0BBF3937" w:rsidR="007B2EEB" w:rsidRPr="006172E4" w:rsidRDefault="007B2EEB" w:rsidP="00FF7422">
            <w:pPr>
              <w:pStyle w:val="Indentedparagraph"/>
              <w:ind w:left="0"/>
              <w:jc w:val="both"/>
              <w:rPr>
                <w:rFonts w:cs="Arial"/>
                <w:sz w:val="24"/>
                <w:szCs w:val="24"/>
              </w:rPr>
            </w:pPr>
            <w:r w:rsidRPr="006172E4">
              <w:rPr>
                <w:rFonts w:cs="Arial"/>
                <w:sz w:val="24"/>
                <w:szCs w:val="24"/>
              </w:rPr>
              <w:t xml:space="preserve">The </w:t>
            </w:r>
            <w:r w:rsidR="00FF7422">
              <w:rPr>
                <w:rFonts w:cs="Arial"/>
                <w:sz w:val="24"/>
                <w:szCs w:val="24"/>
              </w:rPr>
              <w:t>C</w:t>
            </w:r>
            <w:r w:rsidRPr="006172E4">
              <w:rPr>
                <w:rFonts w:cs="Arial"/>
                <w:sz w:val="24"/>
                <w:szCs w:val="24"/>
              </w:rPr>
              <w:t xml:space="preserve">hair of the </w:t>
            </w:r>
            <w:r w:rsidR="00FF7422">
              <w:rPr>
                <w:rFonts w:cs="Arial"/>
                <w:sz w:val="24"/>
                <w:szCs w:val="24"/>
              </w:rPr>
              <w:t>Panel</w:t>
            </w:r>
            <w:r w:rsidRPr="006172E4">
              <w:rPr>
                <w:rFonts w:cs="Arial"/>
                <w:sz w:val="24"/>
                <w:szCs w:val="24"/>
              </w:rPr>
              <w:t xml:space="preserve"> may make recommendations to the parent committee, or individual with the relevant authority (</w:t>
            </w:r>
            <w:proofErr w:type="gramStart"/>
            <w:r w:rsidRPr="006172E4">
              <w:rPr>
                <w:rFonts w:cs="Arial"/>
                <w:sz w:val="24"/>
                <w:szCs w:val="24"/>
              </w:rPr>
              <w:t>e.g.</w:t>
            </w:r>
            <w:proofErr w:type="gramEnd"/>
            <w:r w:rsidR="00FF7422">
              <w:rPr>
                <w:rFonts w:cs="Arial"/>
                <w:sz w:val="24"/>
                <w:szCs w:val="24"/>
              </w:rPr>
              <w:t xml:space="preserve"> Chief Officer</w:t>
            </w:r>
            <w:r w:rsidRPr="006172E4">
              <w:rPr>
                <w:rFonts w:cs="Arial"/>
                <w:sz w:val="24"/>
                <w:szCs w:val="24"/>
              </w:rPr>
              <w:t xml:space="preserve">) for consideration where the most senior </w:t>
            </w:r>
            <w:r w:rsidR="00FF7422">
              <w:rPr>
                <w:rFonts w:cs="Arial"/>
                <w:sz w:val="24"/>
                <w:szCs w:val="24"/>
              </w:rPr>
              <w:t>Panel</w:t>
            </w:r>
            <w:r w:rsidRPr="006172E4">
              <w:rPr>
                <w:rFonts w:cs="Arial"/>
                <w:sz w:val="24"/>
                <w:szCs w:val="24"/>
              </w:rPr>
              <w:t xml:space="preserve"> member present does not have the authority to make a decision.</w:t>
            </w:r>
          </w:p>
        </w:tc>
      </w:tr>
      <w:tr w:rsidR="007B2EEB" w:rsidRPr="00FF7422" w14:paraId="27873064" w14:textId="77777777" w:rsidTr="007B2EEB"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1CD634A" w14:textId="77777777" w:rsidR="007B2EEB" w:rsidRPr="00FF7422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FF7422">
              <w:rPr>
                <w:b/>
                <w:bCs/>
                <w:color w:val="000000" w:themeColor="text1"/>
              </w:rPr>
              <w:t>Attendance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66D85C" w14:textId="7D47D24C" w:rsidR="007B2EEB" w:rsidRPr="00FF7422" w:rsidRDefault="007B2EEB" w:rsidP="00FF7422">
            <w:pPr>
              <w:spacing w:before="120" w:after="120"/>
              <w:jc w:val="both"/>
              <w:rPr>
                <w:color w:val="000000" w:themeColor="text1"/>
              </w:rPr>
            </w:pPr>
            <w:r w:rsidRPr="00FF7422">
              <w:rPr>
                <w:color w:val="000000" w:themeColor="text1"/>
              </w:rPr>
              <w:t xml:space="preserve">Members should aim to attend all meetings of the </w:t>
            </w:r>
            <w:r w:rsidR="00FF7422" w:rsidRPr="00FF7422">
              <w:rPr>
                <w:color w:val="000000" w:themeColor="text1"/>
              </w:rPr>
              <w:t xml:space="preserve">Panel </w:t>
            </w:r>
            <w:r w:rsidRPr="00FF7422">
              <w:rPr>
                <w:color w:val="000000" w:themeColor="text1"/>
              </w:rPr>
              <w:t xml:space="preserve">and should attend at least 75% of meetings. </w:t>
            </w:r>
          </w:p>
        </w:tc>
      </w:tr>
      <w:tr w:rsidR="007B2EEB" w:rsidRPr="00FF7422" w14:paraId="55ACDEFB" w14:textId="77777777" w:rsidTr="007B2EEB"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58469F" w14:textId="77777777" w:rsidR="007B2EEB" w:rsidRPr="00FF7422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FF7422">
              <w:rPr>
                <w:b/>
                <w:bCs/>
                <w:color w:val="000000" w:themeColor="text1"/>
              </w:rPr>
              <w:lastRenderedPageBreak/>
              <w:t>Draft annual work plans</w:t>
            </w: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F9BCEB" w14:textId="64DCF2C5" w:rsidR="009E3779" w:rsidRDefault="009E3779" w:rsidP="009E3779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The Panel will produce an annual work plan in consultation with the Executive Committee (in response to any further NHSE requirements).</w:t>
            </w:r>
          </w:p>
          <w:p w14:paraId="3D99F084" w14:textId="587BDE8E" w:rsidR="007B2EEB" w:rsidRPr="00FF7422" w:rsidRDefault="007B2EEB">
            <w:pPr>
              <w:spacing w:before="120" w:after="120"/>
              <w:rPr>
                <w:color w:val="000000" w:themeColor="text1"/>
              </w:rPr>
            </w:pPr>
            <w:proofErr w:type="gramStart"/>
            <w:r w:rsidRPr="00FF7422">
              <w:rPr>
                <w:color w:val="000000" w:themeColor="text1"/>
              </w:rPr>
              <w:t>In order to</w:t>
            </w:r>
            <w:proofErr w:type="gramEnd"/>
            <w:r w:rsidRPr="00FF7422">
              <w:rPr>
                <w:color w:val="000000" w:themeColor="text1"/>
              </w:rPr>
              <w:t xml:space="preserve"> aid agenda planning, the </w:t>
            </w:r>
            <w:r w:rsidR="00370938">
              <w:rPr>
                <w:color w:val="000000" w:themeColor="text1"/>
              </w:rPr>
              <w:t>Panel</w:t>
            </w:r>
            <w:r w:rsidRPr="00FF7422">
              <w:rPr>
                <w:color w:val="000000" w:themeColor="text1"/>
              </w:rPr>
              <w:t xml:space="preserve"> may produce an annual work plan in consultation with its parent committee</w:t>
            </w:r>
            <w:r w:rsidRPr="00FF7422">
              <w:t>/</w:t>
            </w:r>
            <w:r w:rsidR="009C71CC">
              <w:t>Subcommittee</w:t>
            </w:r>
            <w:r w:rsidRPr="00FF7422">
              <w:t xml:space="preserve"> (if established by those bodies).</w:t>
            </w:r>
          </w:p>
        </w:tc>
      </w:tr>
      <w:tr w:rsidR="009E3779" w:rsidRPr="00FF7422" w14:paraId="42DB1B60" w14:textId="77777777" w:rsidTr="007B2EEB"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8640F4" w14:textId="7903BBD5" w:rsidR="009E3779" w:rsidRPr="00FF7422" w:rsidRDefault="009E3779">
            <w:pPr>
              <w:spacing w:before="120"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76C11D" w14:textId="3622AB6F" w:rsidR="009E3779" w:rsidRDefault="009E3779" w:rsidP="009E3779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</w:tr>
      <w:tr w:rsidR="009E3779" w:rsidRPr="00FF7422" w14:paraId="3C5EAFE6" w14:textId="77777777" w:rsidTr="007B2EEB">
        <w:tc>
          <w:tcPr>
            <w:tcW w:w="1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689B1B" w14:textId="6B179265" w:rsidR="009E3779" w:rsidRDefault="009E3779">
            <w:pPr>
              <w:spacing w:before="120" w:after="120"/>
              <w:rPr>
                <w:b/>
                <w:bCs/>
                <w:color w:val="000000" w:themeColor="text1"/>
              </w:rPr>
            </w:pPr>
          </w:p>
        </w:tc>
        <w:tc>
          <w:tcPr>
            <w:tcW w:w="73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13382B" w14:textId="0912FDB9" w:rsidR="009E3779" w:rsidRDefault="009E3779" w:rsidP="009E3779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</w:tr>
    </w:tbl>
    <w:p w14:paraId="63F313A8" w14:textId="77777777" w:rsidR="007B2EEB" w:rsidRDefault="007B2EEB" w:rsidP="007B2EEB">
      <w:pPr>
        <w:pStyle w:val="NormalWeb"/>
        <w:ind w:left="567"/>
        <w:rPr>
          <w:rFonts w:ascii="Arial" w:hAnsi="Arial" w:cs="Arial"/>
          <w:sz w:val="22"/>
          <w:szCs w:val="22"/>
        </w:rPr>
      </w:pPr>
    </w:p>
    <w:p w14:paraId="7F45F104" w14:textId="0875C2BF" w:rsidR="007B2EEB" w:rsidRDefault="009E3779" w:rsidP="007B2EEB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35" w:name="_Toc129939328"/>
      <w:bookmarkStart w:id="36" w:name="_Toc129939495"/>
      <w:bookmarkStart w:id="37" w:name="_Toc129940006"/>
      <w:bookmarkStart w:id="38" w:name="_Toc129940169"/>
      <w:bookmarkStart w:id="39" w:name="_Toc131156892"/>
      <w:r>
        <w:t>Panel</w:t>
      </w:r>
      <w:r w:rsidR="007B2EEB">
        <w:t xml:space="preserve"> meetings</w:t>
      </w:r>
      <w:bookmarkEnd w:id="35"/>
      <w:bookmarkEnd w:id="36"/>
      <w:bookmarkEnd w:id="37"/>
      <w:bookmarkEnd w:id="38"/>
      <w:bookmarkEnd w:id="39"/>
    </w:p>
    <w:p w14:paraId="393C1041" w14:textId="77777777" w:rsidR="007B2EEB" w:rsidRPr="009E3779" w:rsidRDefault="007B2EEB" w:rsidP="007B2EEB">
      <w:pPr>
        <w:pStyle w:val="Indentedparagraph"/>
        <w:rPr>
          <w:rFonts w:cs="Arial"/>
          <w:sz w:val="24"/>
          <w:szCs w:val="24"/>
        </w:rPr>
      </w:pPr>
      <w:r w:rsidRPr="009E3779">
        <w:rPr>
          <w:rFonts w:cs="Arial"/>
          <w:sz w:val="24"/>
          <w:szCs w:val="24"/>
        </w:rPr>
        <w:t>This section sets out meeting:</w:t>
      </w:r>
    </w:p>
    <w:p w14:paraId="5048535F" w14:textId="77777777" w:rsidR="007B2EEB" w:rsidRPr="009E3779" w:rsidRDefault="007B2EEB" w:rsidP="007B2EEB">
      <w:pPr>
        <w:pStyle w:val="Bullet"/>
        <w:rPr>
          <w:rFonts w:cs="Arial"/>
          <w:sz w:val="24"/>
          <w:szCs w:val="24"/>
        </w:rPr>
      </w:pPr>
      <w:r w:rsidRPr="009E3779">
        <w:rPr>
          <w:rFonts w:cs="Arial"/>
          <w:sz w:val="24"/>
          <w:szCs w:val="24"/>
        </w:rPr>
        <w:t>Composition and quoracy</w:t>
      </w:r>
    </w:p>
    <w:p w14:paraId="01B3417A" w14:textId="77777777" w:rsidR="007B2EEB" w:rsidRPr="009E3779" w:rsidRDefault="007B2EEB" w:rsidP="007B2EEB">
      <w:pPr>
        <w:pStyle w:val="Bullet"/>
        <w:rPr>
          <w:rFonts w:cs="Arial"/>
          <w:sz w:val="24"/>
          <w:szCs w:val="24"/>
        </w:rPr>
      </w:pPr>
      <w:r w:rsidRPr="009E3779">
        <w:rPr>
          <w:rFonts w:cs="Arial"/>
          <w:sz w:val="24"/>
          <w:szCs w:val="24"/>
        </w:rPr>
        <w:t xml:space="preserve">Frequency and formats </w:t>
      </w:r>
    </w:p>
    <w:p w14:paraId="54E39041" w14:textId="77777777" w:rsidR="007B2EEB" w:rsidRPr="009E3779" w:rsidRDefault="007B2EEB" w:rsidP="007B2EEB">
      <w:pPr>
        <w:pStyle w:val="Bullet"/>
        <w:rPr>
          <w:rFonts w:cs="Arial"/>
          <w:sz w:val="24"/>
          <w:szCs w:val="24"/>
        </w:rPr>
      </w:pPr>
      <w:r w:rsidRPr="009E3779">
        <w:rPr>
          <w:rFonts w:cs="Arial"/>
          <w:sz w:val="24"/>
          <w:szCs w:val="24"/>
        </w:rPr>
        <w:t>Procedures</w:t>
      </w:r>
    </w:p>
    <w:p w14:paraId="3921EA87" w14:textId="77777777" w:rsidR="007B2EEB" w:rsidRDefault="007B2EEB" w:rsidP="007B2EEB">
      <w:pPr>
        <w:pStyle w:val="Bullet"/>
        <w:numPr>
          <w:ilvl w:val="0"/>
          <w:numId w:val="0"/>
        </w:numPr>
        <w:ind w:left="851"/>
        <w:rPr>
          <w:rFonts w:cs="Arial"/>
        </w:rPr>
      </w:pPr>
    </w:p>
    <w:p w14:paraId="652F1083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40" w:name="_Toc129939329"/>
      <w:bookmarkStart w:id="41" w:name="_Toc129939496"/>
      <w:bookmarkStart w:id="42" w:name="_Toc129940007"/>
      <w:bookmarkStart w:id="43" w:name="_Toc129940170"/>
      <w:bookmarkStart w:id="44" w:name="_Toc131156893"/>
      <w:r w:rsidRPr="007F1565">
        <w:rPr>
          <w:rFonts w:ascii="Arial" w:hAnsi="Arial" w:cs="Arial"/>
          <w:color w:val="auto"/>
        </w:rPr>
        <w:t>Composition and quoracy</w:t>
      </w:r>
      <w:bookmarkEnd w:id="40"/>
      <w:bookmarkEnd w:id="41"/>
      <w:bookmarkEnd w:id="42"/>
      <w:bookmarkEnd w:id="43"/>
      <w:bookmarkEnd w:id="44"/>
    </w:p>
    <w:p w14:paraId="599958C4" w14:textId="77777777" w:rsidR="007B2EEB" w:rsidRPr="00327E0C" w:rsidRDefault="007B2EEB" w:rsidP="007B2EEB">
      <w:pPr>
        <w:pStyle w:val="Indentedparagraph"/>
        <w:rPr>
          <w:rFonts w:cs="Arial"/>
          <w:sz w:val="24"/>
          <w:szCs w:val="24"/>
        </w:rPr>
      </w:pPr>
      <w:r w:rsidRPr="00327E0C">
        <w:rPr>
          <w:rFonts w:cs="Arial"/>
          <w:sz w:val="24"/>
          <w:szCs w:val="24"/>
        </w:rPr>
        <w:t>This section sets out the meeting composition and quoracy requirements.</w:t>
      </w:r>
    </w:p>
    <w:p w14:paraId="6AEF359C" w14:textId="77777777" w:rsidR="007B2EEB" w:rsidRDefault="007B2EEB" w:rsidP="007B2EEB">
      <w:pPr>
        <w:pStyle w:val="Indentedparagraph"/>
        <w:rPr>
          <w:rFonts w:cs="Arial"/>
        </w:rPr>
      </w:pPr>
    </w:p>
    <w:tbl>
      <w:tblPr>
        <w:tblStyle w:val="TableGrid"/>
        <w:tblW w:w="8940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091"/>
      </w:tblGrid>
      <w:tr w:rsidR="007B2EEB" w:rsidRPr="00327E0C" w14:paraId="046CC522" w14:textId="77777777" w:rsidTr="009C71CC">
        <w:trPr>
          <w:tblHeader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5E89CC7" w14:textId="77777777" w:rsidR="007B2EEB" w:rsidRPr="00327E0C" w:rsidRDefault="007B2EEB">
            <w:pPr>
              <w:spacing w:before="120" w:after="120"/>
              <w:ind w:right="-246"/>
              <w:rPr>
                <w:b/>
                <w:bCs/>
                <w:color w:val="FFFFFF" w:themeColor="background1"/>
              </w:rPr>
            </w:pPr>
            <w:r w:rsidRPr="00327E0C">
              <w:rPr>
                <w:b/>
                <w:bCs/>
                <w:color w:val="000000" w:themeColor="text1"/>
              </w:rPr>
              <w:t>Composition/ quoracy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7D368EA" w14:textId="77777777" w:rsidR="007B2EEB" w:rsidRPr="00327E0C" w:rsidRDefault="007B2EEB">
            <w:pPr>
              <w:spacing w:before="120" w:after="120"/>
              <w:ind w:left="315" w:right="-246" w:hanging="315"/>
              <w:rPr>
                <w:b/>
                <w:bCs/>
                <w:color w:val="FFFFFF" w:themeColor="background1"/>
              </w:rPr>
            </w:pPr>
            <w:r w:rsidRPr="00327E0C">
              <w:rPr>
                <w:b/>
                <w:bCs/>
                <w:color w:val="000000" w:themeColor="text1"/>
              </w:rPr>
              <w:t>Description of expectations</w:t>
            </w:r>
          </w:p>
        </w:tc>
      </w:tr>
      <w:tr w:rsidR="007B2EEB" w:rsidRPr="00327E0C" w14:paraId="7FE41D33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D36106" w14:textId="77777777" w:rsidR="007B2EEB" w:rsidRPr="00327E0C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>Chair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73DFB72" w14:textId="77777777" w:rsidR="007B2EEB" w:rsidRPr="00327E0C" w:rsidRDefault="007B2EEB" w:rsidP="00327E0C">
            <w:pPr>
              <w:spacing w:before="120" w:after="120"/>
              <w:jc w:val="both"/>
              <w:rPr>
                <w:color w:val="000000" w:themeColor="text1"/>
              </w:rPr>
            </w:pPr>
            <w:r w:rsidRPr="00327E0C">
              <w:rPr>
                <w:color w:val="000000" w:themeColor="text1"/>
              </w:rPr>
              <w:t>Appointed for their specific knowledge skills and experience and suitability. (Note: does not need to be a member of the ICB board)</w:t>
            </w:r>
          </w:p>
        </w:tc>
      </w:tr>
      <w:tr w:rsidR="007B2EEB" w:rsidRPr="00327E0C" w14:paraId="5AAB381B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D413718" w14:textId="77777777" w:rsidR="007B2EEB" w:rsidRPr="00327E0C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>Deputy Chair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9EB8070" w14:textId="19919E7B" w:rsidR="007B2EEB" w:rsidRPr="00327E0C" w:rsidRDefault="00327E0C" w:rsidP="00327E0C">
            <w:pPr>
              <w:spacing w:before="120" w:after="120"/>
              <w:jc w:val="both"/>
              <w:rPr>
                <w:color w:val="000000" w:themeColor="text1"/>
              </w:rPr>
            </w:pPr>
            <w:r w:rsidRPr="00327E0C">
              <w:rPr>
                <w:color w:val="000000" w:themeColor="text1"/>
              </w:rPr>
              <w:t>Panel</w:t>
            </w:r>
            <w:r w:rsidR="007B2EEB" w:rsidRPr="00327E0C">
              <w:rPr>
                <w:color w:val="000000" w:themeColor="text1"/>
              </w:rPr>
              <w:t xml:space="preserve"> members may appoint a </w:t>
            </w:r>
            <w:r>
              <w:rPr>
                <w:color w:val="000000" w:themeColor="text1"/>
              </w:rPr>
              <w:t>V</w:t>
            </w:r>
            <w:r w:rsidR="007B2EEB" w:rsidRPr="00327E0C">
              <w:rPr>
                <w:color w:val="000000" w:themeColor="text1"/>
              </w:rPr>
              <w:t xml:space="preserve">ice </w:t>
            </w:r>
            <w:r>
              <w:rPr>
                <w:color w:val="000000" w:themeColor="text1"/>
              </w:rPr>
              <w:t>C</w:t>
            </w:r>
            <w:r w:rsidR="007B2EEB" w:rsidRPr="00327E0C">
              <w:rPr>
                <w:color w:val="000000" w:themeColor="text1"/>
              </w:rPr>
              <w:t>hair from amongst the members.</w:t>
            </w:r>
          </w:p>
        </w:tc>
      </w:tr>
      <w:tr w:rsidR="007B2EEB" w:rsidRPr="00327E0C" w14:paraId="35942A21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94418A" w14:textId="77777777" w:rsidR="007B2EEB" w:rsidRPr="00327E0C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 xml:space="preserve">Absence of Chair or </w:t>
            </w:r>
          </w:p>
          <w:p w14:paraId="53A35440" w14:textId="77777777" w:rsidR="007B2EEB" w:rsidRPr="00327E0C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>Vice Chair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BE404AD" w14:textId="702E5D5E" w:rsidR="007B2EEB" w:rsidRPr="00327E0C" w:rsidRDefault="007B2EEB" w:rsidP="00327E0C">
            <w:pPr>
              <w:pStyle w:val="Tableparagraph"/>
              <w:jc w:val="both"/>
              <w:rPr>
                <w:b/>
                <w:bCs/>
                <w:sz w:val="24"/>
                <w:szCs w:val="24"/>
              </w:rPr>
            </w:pPr>
            <w:r w:rsidRPr="00327E0C">
              <w:rPr>
                <w:sz w:val="24"/>
                <w:szCs w:val="24"/>
              </w:rPr>
              <w:t xml:space="preserve">In the absence of the </w:t>
            </w:r>
            <w:r w:rsidR="00327E0C">
              <w:rPr>
                <w:sz w:val="24"/>
                <w:szCs w:val="24"/>
              </w:rPr>
              <w:t>C</w:t>
            </w:r>
            <w:r w:rsidRPr="00327E0C">
              <w:rPr>
                <w:sz w:val="24"/>
                <w:szCs w:val="24"/>
              </w:rPr>
              <w:t xml:space="preserve">hair, or </w:t>
            </w:r>
            <w:r w:rsidR="00327E0C">
              <w:rPr>
                <w:sz w:val="24"/>
                <w:szCs w:val="24"/>
              </w:rPr>
              <w:t>V</w:t>
            </w:r>
            <w:r w:rsidRPr="00327E0C">
              <w:rPr>
                <w:sz w:val="24"/>
                <w:szCs w:val="24"/>
              </w:rPr>
              <w:t xml:space="preserve">ice </w:t>
            </w:r>
            <w:r w:rsidR="00327E0C">
              <w:rPr>
                <w:sz w:val="24"/>
                <w:szCs w:val="24"/>
              </w:rPr>
              <w:t>C</w:t>
            </w:r>
            <w:r w:rsidRPr="00327E0C">
              <w:rPr>
                <w:sz w:val="24"/>
                <w:szCs w:val="24"/>
              </w:rPr>
              <w:t>hair, the remaining members present elects one of their number to Chair the meeting.</w:t>
            </w:r>
          </w:p>
        </w:tc>
      </w:tr>
      <w:tr w:rsidR="007B2EEB" w:rsidRPr="00327E0C" w14:paraId="2F75B159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0210032" w14:textId="77777777" w:rsidR="007B2EEB" w:rsidRPr="00327E0C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>Membership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112739" w14:textId="77777777" w:rsidR="007B2EEB" w:rsidRPr="00327E0C" w:rsidRDefault="007B2EEB">
            <w:pPr>
              <w:spacing w:before="120" w:after="120"/>
            </w:pPr>
            <w:r w:rsidRPr="00327E0C">
              <w:t>The membership will include the following or their deputies as agreed with the Chair:</w:t>
            </w:r>
          </w:p>
          <w:p w14:paraId="7C40AEE2" w14:textId="5F0BF4B2" w:rsidR="007B2EEB" w:rsidRDefault="009A34EA" w:rsidP="00F93C4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Chief </w:t>
            </w:r>
            <w:r w:rsidR="005E7970">
              <w:rPr>
                <w:color w:val="000000" w:themeColor="text1"/>
              </w:rPr>
              <w:t xml:space="preserve">Nurse, </w:t>
            </w:r>
            <w:proofErr w:type="spellStart"/>
            <w:r w:rsidR="005E7970">
              <w:rPr>
                <w:color w:val="000000" w:themeColor="text1"/>
              </w:rPr>
              <w:t>AHP</w:t>
            </w:r>
            <w:proofErr w:type="spellEnd"/>
            <w:r w:rsidR="005E7970">
              <w:rPr>
                <w:color w:val="000000" w:themeColor="text1"/>
              </w:rPr>
              <w:t xml:space="preserve"> and People Officer </w:t>
            </w:r>
            <w:r w:rsidR="00327E0C">
              <w:rPr>
                <w:color w:val="000000" w:themeColor="text1"/>
              </w:rPr>
              <w:t>(Chair)</w:t>
            </w:r>
          </w:p>
          <w:p w14:paraId="37F53EDB" w14:textId="2315DE94" w:rsidR="00327E0C" w:rsidRDefault="005E7970" w:rsidP="00F93C4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Chief Finance Officer</w:t>
            </w:r>
            <w:r w:rsidR="00327E0C">
              <w:rPr>
                <w:color w:val="000000" w:themeColor="text1"/>
              </w:rPr>
              <w:t xml:space="preserve"> (Vice-Chair)</w:t>
            </w:r>
          </w:p>
          <w:p w14:paraId="039B2419" w14:textId="1908AA4F" w:rsidR="003771C6" w:rsidRDefault="0004000D" w:rsidP="00F93C4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Chief Delivery Officer</w:t>
            </w:r>
          </w:p>
          <w:p w14:paraId="4A23C13A" w14:textId="36CD78AC" w:rsidR="00327E0C" w:rsidRDefault="0004000D" w:rsidP="00F93C4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Chief Contracting and Procurement Officer</w:t>
            </w:r>
          </w:p>
          <w:p w14:paraId="4571FB57" w14:textId="7C7A6AAB" w:rsidR="00327E0C" w:rsidRPr="00327E0C" w:rsidRDefault="006A4552" w:rsidP="00F93C4C">
            <w:pPr>
              <w:pStyle w:val="ListParagraph"/>
              <w:numPr>
                <w:ilvl w:val="0"/>
                <w:numId w:val="2"/>
              </w:numPr>
              <w:rPr>
                <w:color w:val="000000" w:themeColor="text1"/>
              </w:rPr>
            </w:pPr>
            <w:r>
              <w:rPr>
                <w:color w:val="000000" w:themeColor="text1"/>
              </w:rPr>
              <w:t>Chief Strategy Officer</w:t>
            </w:r>
          </w:p>
          <w:p w14:paraId="58821966" w14:textId="77777777" w:rsidR="007B2EEB" w:rsidRPr="00327E0C" w:rsidRDefault="007B2EEB">
            <w:pPr>
              <w:rPr>
                <w:color w:val="000000" w:themeColor="text1"/>
              </w:rPr>
            </w:pPr>
          </w:p>
          <w:p w14:paraId="12153D4B" w14:textId="77777777" w:rsidR="007B2EEB" w:rsidRPr="00327E0C" w:rsidRDefault="007B2EEB" w:rsidP="00AC62BD">
            <w:pPr>
              <w:jc w:val="both"/>
              <w:rPr>
                <w:color w:val="000000" w:themeColor="text1"/>
              </w:rPr>
            </w:pPr>
            <w:r w:rsidRPr="00327E0C">
              <w:rPr>
                <w:color w:val="000000" w:themeColor="text1"/>
              </w:rPr>
              <w:t>Deputies as agreed by the Chair have the same voting rights as those that they are deputising for.</w:t>
            </w:r>
          </w:p>
          <w:p w14:paraId="53DD148D" w14:textId="4B77108C" w:rsidR="007B2EEB" w:rsidRDefault="007B2EEB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lastRenderedPageBreak/>
              <w:t>EDI:</w:t>
            </w:r>
            <w:r w:rsidRPr="00327E0C">
              <w:rPr>
                <w:color w:val="000000" w:themeColor="text1"/>
              </w:rPr>
              <w:t xml:space="preserve"> When determining the membership of the </w:t>
            </w:r>
            <w:r w:rsidR="00AC62BD">
              <w:rPr>
                <w:color w:val="000000" w:themeColor="text1"/>
              </w:rPr>
              <w:t>Panel</w:t>
            </w:r>
            <w:r w:rsidRPr="00327E0C">
              <w:rPr>
                <w:color w:val="000000" w:themeColor="text1"/>
              </w:rPr>
              <w:t xml:space="preserve">, consideration will be given to diversity and equality.  </w:t>
            </w:r>
          </w:p>
          <w:p w14:paraId="00A9A890" w14:textId="77777777" w:rsidR="00AC62BD" w:rsidRPr="00AC62BD" w:rsidRDefault="00AC62BD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AC62BD">
              <w:rPr>
                <w:color w:val="000000" w:themeColor="text1"/>
              </w:rPr>
              <w:t xml:space="preserve">Involvement: In determining membership consideration will be given to the need for a patient and public involvement member. </w:t>
            </w:r>
          </w:p>
          <w:p w14:paraId="71714A44" w14:textId="07B43EB5" w:rsidR="00AC62BD" w:rsidRPr="00327E0C" w:rsidRDefault="00AC62BD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AC62BD">
              <w:rPr>
                <w:color w:val="000000" w:themeColor="text1"/>
              </w:rPr>
              <w:t>ICS: Membership may be from across the Integrated Care System.</w:t>
            </w:r>
          </w:p>
          <w:p w14:paraId="3180A639" w14:textId="77777777" w:rsidR="007B2EEB" w:rsidRPr="00327E0C" w:rsidRDefault="007B2EEB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327E0C">
              <w:rPr>
                <w:b/>
                <w:bCs/>
                <w:color w:val="000000" w:themeColor="text1"/>
              </w:rPr>
              <w:t>Conflicts</w:t>
            </w:r>
            <w:r w:rsidRPr="00327E0C">
              <w:rPr>
                <w:color w:val="000000" w:themeColor="text1"/>
              </w:rPr>
              <w:t xml:space="preserve">: Consideration must be given to material conflicts in the appointment of members. </w:t>
            </w:r>
          </w:p>
        </w:tc>
      </w:tr>
      <w:tr w:rsidR="007B2EEB" w:rsidRPr="00AC62BD" w14:paraId="11B63820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21789A" w14:textId="77777777" w:rsidR="007B2EEB" w:rsidRPr="00AC62BD" w:rsidRDefault="007B2EEB" w:rsidP="00AC62B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AC62BD">
              <w:rPr>
                <w:b/>
                <w:bCs/>
                <w:color w:val="000000" w:themeColor="text1"/>
              </w:rPr>
              <w:lastRenderedPageBreak/>
              <w:t>Attendees and procedure for absence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C1C7A8C" w14:textId="77777777" w:rsidR="007B2EEB" w:rsidRPr="00AC62BD" w:rsidRDefault="007B2EEB" w:rsidP="00AC62BD">
            <w:pPr>
              <w:pStyle w:val="Tableparagraph"/>
              <w:jc w:val="both"/>
              <w:rPr>
                <w:sz w:val="24"/>
                <w:szCs w:val="24"/>
              </w:rPr>
            </w:pPr>
            <w:r w:rsidRPr="00AC62BD">
              <w:rPr>
                <w:sz w:val="24"/>
                <w:szCs w:val="24"/>
              </w:rPr>
              <w:t xml:space="preserve">Members have the right to attend meetings. </w:t>
            </w:r>
          </w:p>
          <w:p w14:paraId="3B961517" w14:textId="0023EDB5" w:rsidR="007B2EEB" w:rsidRPr="00AC62BD" w:rsidRDefault="007B2EEB" w:rsidP="00AC62BD">
            <w:pPr>
              <w:pStyle w:val="Tablepara"/>
              <w:jc w:val="both"/>
              <w:rPr>
                <w:sz w:val="24"/>
                <w:szCs w:val="24"/>
              </w:rPr>
            </w:pPr>
            <w:r w:rsidRPr="00AC62BD">
              <w:rPr>
                <w:sz w:val="24"/>
                <w:szCs w:val="24"/>
              </w:rPr>
              <w:t xml:space="preserve">Other attendees: The </w:t>
            </w:r>
            <w:r w:rsidR="00370938">
              <w:rPr>
                <w:sz w:val="24"/>
                <w:szCs w:val="24"/>
              </w:rPr>
              <w:t>C</w:t>
            </w:r>
            <w:r w:rsidRPr="00AC62BD">
              <w:rPr>
                <w:sz w:val="24"/>
                <w:szCs w:val="24"/>
              </w:rPr>
              <w:t>hair may elect to co-opt additional attendees, where it is in the interests of the activities to do so.</w:t>
            </w:r>
          </w:p>
          <w:p w14:paraId="07B3F118" w14:textId="77777777" w:rsidR="007B2EEB" w:rsidRPr="00AC62BD" w:rsidRDefault="007B2EEB" w:rsidP="00AC62B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AC62BD">
              <w:rPr>
                <w:b/>
                <w:bCs/>
                <w:color w:val="000000" w:themeColor="text1"/>
              </w:rPr>
              <w:t>Procedure for absence:</w:t>
            </w:r>
            <w:r w:rsidRPr="00AC62BD">
              <w:rPr>
                <w:rFonts w:eastAsia="Times New Roman"/>
                <w:b/>
                <w:bCs/>
                <w:color w:val="000000" w:themeColor="text1"/>
              </w:rPr>
              <w:t xml:space="preserve"> </w:t>
            </w:r>
          </w:p>
          <w:p w14:paraId="1D34E21D" w14:textId="54B1C044" w:rsidR="007B2EEB" w:rsidRPr="00AC62BD" w:rsidRDefault="007B2EEB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AC62BD">
              <w:rPr>
                <w:color w:val="000000" w:themeColor="text1"/>
              </w:rPr>
              <w:t xml:space="preserve">Where a member or any regular attendee of the </w:t>
            </w:r>
            <w:r w:rsidR="00AC62BD">
              <w:rPr>
                <w:color w:val="000000" w:themeColor="text1"/>
              </w:rPr>
              <w:t>Panel</w:t>
            </w:r>
            <w:r w:rsidRPr="00AC62BD">
              <w:rPr>
                <w:color w:val="000000" w:themeColor="text1"/>
              </w:rPr>
              <w:t xml:space="preserve"> is unable to attend a meeting, a suitable alternative may be agreed with the </w:t>
            </w:r>
            <w:r w:rsidR="00370938">
              <w:rPr>
                <w:color w:val="000000" w:themeColor="text1"/>
              </w:rPr>
              <w:t>C</w:t>
            </w:r>
            <w:r w:rsidRPr="00AC62BD">
              <w:rPr>
                <w:color w:val="000000" w:themeColor="text1"/>
              </w:rPr>
              <w:t xml:space="preserve">hair. </w:t>
            </w:r>
          </w:p>
          <w:p w14:paraId="10D33573" w14:textId="2375927F" w:rsidR="007B2EEB" w:rsidRPr="00AC62BD" w:rsidRDefault="007B2EEB" w:rsidP="00AC62BD">
            <w:pPr>
              <w:spacing w:before="120" w:after="120"/>
              <w:jc w:val="both"/>
              <w:rPr>
                <w:color w:val="000000" w:themeColor="text1"/>
              </w:rPr>
            </w:pPr>
            <w:r w:rsidRPr="00AC62BD">
              <w:rPr>
                <w:color w:val="000000" w:themeColor="text1"/>
              </w:rPr>
              <w:t xml:space="preserve">The </w:t>
            </w:r>
            <w:r w:rsidR="00AC62BD">
              <w:rPr>
                <w:color w:val="000000" w:themeColor="text1"/>
              </w:rPr>
              <w:t>C</w:t>
            </w:r>
            <w:r w:rsidRPr="00AC62BD">
              <w:rPr>
                <w:color w:val="000000" w:themeColor="text1"/>
              </w:rPr>
              <w:t xml:space="preserve">hair may ask any or all of those who normally attend to withdraw to facilitate open and frank discussion of </w:t>
            </w:r>
            <w:proofErr w:type="gramStart"/>
            <w:r w:rsidRPr="00AC62BD">
              <w:rPr>
                <w:color w:val="000000" w:themeColor="text1"/>
              </w:rPr>
              <w:t>particular matters</w:t>
            </w:r>
            <w:proofErr w:type="gramEnd"/>
            <w:r w:rsidRPr="00AC62BD">
              <w:rPr>
                <w:color w:val="000000" w:themeColor="text1"/>
              </w:rPr>
              <w:t>.</w:t>
            </w:r>
          </w:p>
        </w:tc>
      </w:tr>
      <w:tr w:rsidR="007B2EEB" w:rsidRPr="00AC62BD" w14:paraId="304EDA29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93D1B5" w14:textId="77777777" w:rsidR="007B2EEB" w:rsidRPr="00AC62BD" w:rsidRDefault="007B2EEB" w:rsidP="00AC62B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AC62BD">
              <w:rPr>
                <w:b/>
                <w:bCs/>
                <w:color w:val="000000" w:themeColor="text1"/>
              </w:rPr>
              <w:t xml:space="preserve">Quoracy 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6E45168" w14:textId="55C98373" w:rsidR="007B2EEB" w:rsidRDefault="007B2EEB" w:rsidP="00AC62BD">
            <w:pPr>
              <w:spacing w:before="120" w:after="120"/>
              <w:jc w:val="both"/>
            </w:pPr>
          </w:p>
          <w:p w14:paraId="3FE0DB6E" w14:textId="34E6CE52" w:rsidR="004356CD" w:rsidRPr="00AC62BD" w:rsidRDefault="004356CD" w:rsidP="00AC62BD">
            <w:pPr>
              <w:spacing w:before="120" w:after="120"/>
              <w:jc w:val="both"/>
            </w:pPr>
            <w:r w:rsidRPr="004356CD">
              <w:t xml:space="preserve">Not necessary for </w:t>
            </w:r>
            <w:r>
              <w:t xml:space="preserve">Panels </w:t>
            </w:r>
            <w:r w:rsidRPr="004356CD">
              <w:t xml:space="preserve">(as they are not a decision-making forum). The </w:t>
            </w:r>
            <w:r>
              <w:t>C</w:t>
            </w:r>
            <w:r w:rsidRPr="004356CD">
              <w:t>hair will decide whether there are enough members of the required disciplines at the meeting to ensure the meeting is meaningful.</w:t>
            </w:r>
          </w:p>
        </w:tc>
      </w:tr>
    </w:tbl>
    <w:p w14:paraId="5C143082" w14:textId="77777777" w:rsidR="007B2EEB" w:rsidRDefault="007B2EEB" w:rsidP="007B2EEB">
      <w:pPr>
        <w:pStyle w:val="Indentedparagraph"/>
        <w:rPr>
          <w:rFonts w:cs="Arial"/>
        </w:rPr>
      </w:pPr>
    </w:p>
    <w:p w14:paraId="0D95CE5C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45" w:name="_Toc129939330"/>
      <w:bookmarkStart w:id="46" w:name="_Toc129939497"/>
      <w:bookmarkStart w:id="47" w:name="_Toc129940008"/>
      <w:bookmarkStart w:id="48" w:name="_Toc129940171"/>
      <w:bookmarkStart w:id="49" w:name="_Toc131156894"/>
      <w:r w:rsidRPr="007F1565">
        <w:rPr>
          <w:rFonts w:ascii="Arial" w:hAnsi="Arial" w:cs="Arial"/>
          <w:color w:val="auto"/>
        </w:rPr>
        <w:t>Frequency and formats</w:t>
      </w:r>
      <w:bookmarkEnd w:id="45"/>
      <w:bookmarkEnd w:id="46"/>
      <w:bookmarkEnd w:id="47"/>
      <w:bookmarkEnd w:id="48"/>
      <w:bookmarkEnd w:id="49"/>
    </w:p>
    <w:p w14:paraId="471A5ED0" w14:textId="4B3DBA7D" w:rsidR="007B2EEB" w:rsidRPr="004356CD" w:rsidRDefault="007B2EEB" w:rsidP="007B2EEB">
      <w:pPr>
        <w:pStyle w:val="Indentedparagraph"/>
        <w:rPr>
          <w:rFonts w:cs="Arial"/>
          <w:sz w:val="24"/>
          <w:szCs w:val="24"/>
        </w:rPr>
      </w:pPr>
      <w:r w:rsidRPr="004356CD">
        <w:rPr>
          <w:rFonts w:cs="Arial"/>
          <w:sz w:val="24"/>
          <w:szCs w:val="24"/>
        </w:rPr>
        <w:t xml:space="preserve">This section on </w:t>
      </w:r>
      <w:r w:rsidR="00370938">
        <w:rPr>
          <w:rFonts w:cs="Arial"/>
          <w:sz w:val="24"/>
          <w:szCs w:val="24"/>
        </w:rPr>
        <w:t>Panel</w:t>
      </w:r>
      <w:r w:rsidRPr="004356CD">
        <w:rPr>
          <w:rFonts w:cs="Arial"/>
          <w:sz w:val="24"/>
          <w:szCs w:val="24"/>
        </w:rPr>
        <w:t xml:space="preserve"> meetings describes the meeting frequency and formats.</w:t>
      </w:r>
    </w:p>
    <w:p w14:paraId="59B41EAA" w14:textId="77777777" w:rsidR="007B2EEB" w:rsidRDefault="007B2EEB" w:rsidP="007B2EEB">
      <w:pPr>
        <w:rPr>
          <w:b/>
          <w:bCs/>
        </w:rPr>
      </w:pPr>
    </w:p>
    <w:p w14:paraId="6E093613" w14:textId="77777777" w:rsidR="007B2EEB" w:rsidRDefault="007B2EEB" w:rsidP="007B2EEB">
      <w:pPr>
        <w:rPr>
          <w:b/>
          <w:bCs/>
        </w:rPr>
      </w:pPr>
      <w:r>
        <w:rPr>
          <w:b/>
          <w:bCs/>
        </w:rPr>
        <w:tab/>
      </w:r>
    </w:p>
    <w:tbl>
      <w:tblPr>
        <w:tblStyle w:val="TableGrid"/>
        <w:tblW w:w="8936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7"/>
        <w:gridCol w:w="131"/>
        <w:gridCol w:w="6958"/>
      </w:tblGrid>
      <w:tr w:rsidR="007B2EEB" w14:paraId="3B760A01" w14:textId="77777777" w:rsidTr="009C71CC">
        <w:trPr>
          <w:tblHeader/>
        </w:trPr>
        <w:tc>
          <w:tcPr>
            <w:tcW w:w="197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26C5A54" w14:textId="77777777" w:rsidR="007B2EEB" w:rsidRPr="004356CD" w:rsidRDefault="007B2EEB">
            <w:pPr>
              <w:spacing w:before="120" w:after="120"/>
              <w:rPr>
                <w:b/>
                <w:bCs/>
                <w:color w:val="FFFFFF" w:themeColor="background1"/>
              </w:rPr>
            </w:pPr>
            <w:r w:rsidRPr="004356CD">
              <w:rPr>
                <w:b/>
                <w:bCs/>
                <w:color w:val="000000" w:themeColor="text1"/>
              </w:rPr>
              <w:t>Frequency/ format</w:t>
            </w:r>
          </w:p>
        </w:tc>
        <w:tc>
          <w:tcPr>
            <w:tcW w:w="69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1D24A37" w14:textId="77777777" w:rsidR="007B2EEB" w:rsidRPr="004356CD" w:rsidRDefault="007B2EEB">
            <w:pPr>
              <w:spacing w:before="120" w:after="120"/>
              <w:rPr>
                <w:b/>
                <w:bCs/>
                <w:color w:val="FFFFFF" w:themeColor="background1"/>
              </w:rPr>
            </w:pPr>
            <w:r w:rsidRPr="004356CD">
              <w:rPr>
                <w:b/>
                <w:bCs/>
                <w:color w:val="000000" w:themeColor="text1"/>
              </w:rPr>
              <w:t xml:space="preserve">Description </w:t>
            </w:r>
          </w:p>
        </w:tc>
      </w:tr>
      <w:tr w:rsidR="007B2EEB" w14:paraId="420EE836" w14:textId="77777777" w:rsidTr="009C71CC"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6AA307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Meeting frequency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FD1524" w14:textId="6A525EF5" w:rsidR="007B2EEB" w:rsidRPr="004356CD" w:rsidRDefault="007B2EEB" w:rsidP="004356CD">
            <w:pPr>
              <w:spacing w:before="120"/>
              <w:jc w:val="both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The </w:t>
            </w:r>
            <w:r w:rsidR="00370938">
              <w:rPr>
                <w:color w:val="000000" w:themeColor="text1"/>
              </w:rPr>
              <w:t>Panel</w:t>
            </w:r>
            <w:r w:rsidRPr="004356CD">
              <w:rPr>
                <w:color w:val="000000" w:themeColor="text1"/>
              </w:rPr>
              <w:t xml:space="preserve"> will meet </w:t>
            </w:r>
            <w:r w:rsidR="004356CD" w:rsidRPr="004356CD">
              <w:rPr>
                <w:color w:val="000000" w:themeColor="text1"/>
              </w:rPr>
              <w:t>on a bi-weekly basis.</w:t>
            </w:r>
          </w:p>
          <w:p w14:paraId="3320D880" w14:textId="71B0EB90" w:rsidR="007B2EEB" w:rsidRPr="004356CD" w:rsidRDefault="007B2EEB" w:rsidP="004356CD">
            <w:pPr>
              <w:pStyle w:val="Tableparagraph"/>
              <w:jc w:val="both"/>
              <w:rPr>
                <w:sz w:val="24"/>
                <w:szCs w:val="24"/>
              </w:rPr>
            </w:pPr>
            <w:r w:rsidRPr="004356CD">
              <w:rPr>
                <w:sz w:val="24"/>
                <w:szCs w:val="24"/>
              </w:rPr>
              <w:t xml:space="preserve">Additional meetings may be convened on an exceptional basis at the discretion of the </w:t>
            </w:r>
            <w:r w:rsidR="00370938">
              <w:rPr>
                <w:sz w:val="24"/>
                <w:szCs w:val="24"/>
              </w:rPr>
              <w:t>Panel</w:t>
            </w:r>
            <w:r w:rsidRPr="004356CD">
              <w:rPr>
                <w:sz w:val="24"/>
                <w:szCs w:val="24"/>
              </w:rPr>
              <w:t xml:space="preserve"> </w:t>
            </w:r>
            <w:r w:rsidR="00370938">
              <w:rPr>
                <w:sz w:val="24"/>
                <w:szCs w:val="24"/>
              </w:rPr>
              <w:t>C</w:t>
            </w:r>
            <w:r w:rsidRPr="004356CD">
              <w:rPr>
                <w:sz w:val="24"/>
                <w:szCs w:val="24"/>
              </w:rPr>
              <w:t>hair.</w:t>
            </w:r>
          </w:p>
          <w:p w14:paraId="0E1E78D9" w14:textId="2EC4C27F" w:rsidR="007B2EEB" w:rsidRPr="004356CD" w:rsidRDefault="007B2EEB" w:rsidP="004356CD">
            <w:pPr>
              <w:pStyle w:val="Tableparagraph"/>
              <w:jc w:val="both"/>
              <w:rPr>
                <w:sz w:val="24"/>
                <w:szCs w:val="24"/>
              </w:rPr>
            </w:pPr>
            <w:r w:rsidRPr="004356CD">
              <w:rPr>
                <w:sz w:val="24"/>
                <w:szCs w:val="24"/>
              </w:rPr>
              <w:t xml:space="preserve">The parent committee (if the </w:t>
            </w:r>
            <w:r w:rsidR="00370938">
              <w:rPr>
                <w:sz w:val="24"/>
                <w:szCs w:val="24"/>
              </w:rPr>
              <w:t>Panel</w:t>
            </w:r>
            <w:r w:rsidRPr="004356CD">
              <w:rPr>
                <w:sz w:val="24"/>
                <w:szCs w:val="24"/>
              </w:rPr>
              <w:t xml:space="preserve"> reports to a committee) may ask the </w:t>
            </w:r>
            <w:r w:rsidR="00370938">
              <w:rPr>
                <w:sz w:val="24"/>
                <w:szCs w:val="24"/>
              </w:rPr>
              <w:t>Panel</w:t>
            </w:r>
            <w:r w:rsidRPr="004356CD">
              <w:rPr>
                <w:sz w:val="24"/>
                <w:szCs w:val="24"/>
              </w:rPr>
              <w:t xml:space="preserve"> to convene further meetings to discuss </w:t>
            </w:r>
            <w:proofErr w:type="gramStart"/>
            <w:r w:rsidRPr="004356CD">
              <w:rPr>
                <w:sz w:val="24"/>
                <w:szCs w:val="24"/>
              </w:rPr>
              <w:t>particular issues</w:t>
            </w:r>
            <w:proofErr w:type="gramEnd"/>
            <w:r w:rsidRPr="004356CD">
              <w:rPr>
                <w:sz w:val="24"/>
                <w:szCs w:val="24"/>
              </w:rPr>
              <w:t xml:space="preserve"> on which they want the </w:t>
            </w:r>
            <w:r w:rsidR="004356CD">
              <w:rPr>
                <w:sz w:val="24"/>
                <w:szCs w:val="24"/>
              </w:rPr>
              <w:t>Panel's</w:t>
            </w:r>
            <w:r w:rsidRPr="004356CD">
              <w:rPr>
                <w:sz w:val="24"/>
                <w:szCs w:val="24"/>
              </w:rPr>
              <w:t xml:space="preserve"> advice. </w:t>
            </w:r>
          </w:p>
        </w:tc>
      </w:tr>
      <w:tr w:rsidR="007B2EEB" w14:paraId="600886E7" w14:textId="77777777" w:rsidTr="009C71CC"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EF2F1E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lastRenderedPageBreak/>
              <w:t>Public vs closed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EF6107" w14:textId="76327243" w:rsidR="007B2EEB" w:rsidRPr="004356CD" w:rsidRDefault="004356CD">
            <w:pPr>
              <w:spacing w:before="120" w:after="120"/>
              <w:rPr>
                <w:color w:val="000000" w:themeColor="text1"/>
              </w:rPr>
            </w:pPr>
            <w:r>
              <w:rPr>
                <w:color w:val="000000" w:themeColor="text1"/>
              </w:rPr>
              <w:t>Panel</w:t>
            </w:r>
            <w:r w:rsidR="007B2EEB" w:rsidRPr="004356CD">
              <w:rPr>
                <w:color w:val="000000" w:themeColor="text1"/>
              </w:rPr>
              <w:t xml:space="preserve"> meetings will be held in private. </w:t>
            </w:r>
          </w:p>
          <w:p w14:paraId="3469F5D4" w14:textId="77777777" w:rsidR="007B2EEB" w:rsidRPr="004356CD" w:rsidRDefault="007B2EEB">
            <w:pPr>
              <w:spacing w:before="120" w:after="120"/>
              <w:rPr>
                <w:color w:val="000000" w:themeColor="text1"/>
              </w:rPr>
            </w:pPr>
          </w:p>
        </w:tc>
      </w:tr>
      <w:tr w:rsidR="007B2EEB" w14:paraId="6CE91BCA" w14:textId="77777777" w:rsidTr="009C71CC"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22C484D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 xml:space="preserve">Virtual meetings </w:t>
            </w:r>
          </w:p>
        </w:tc>
        <w:tc>
          <w:tcPr>
            <w:tcW w:w="708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7DE7988" w14:textId="75E87443" w:rsidR="007B2EEB" w:rsidRPr="004356CD" w:rsidRDefault="007B2EEB">
            <w:pPr>
              <w:spacing w:before="120" w:after="120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The </w:t>
            </w:r>
            <w:r w:rsidR="004356CD">
              <w:rPr>
                <w:color w:val="000000" w:themeColor="text1"/>
              </w:rPr>
              <w:t>Panel</w:t>
            </w:r>
            <w:r w:rsidRPr="004356CD">
              <w:rPr>
                <w:color w:val="000000" w:themeColor="text1"/>
              </w:rPr>
              <w:t xml:space="preserve"> may meet in person or virtually.</w:t>
            </w:r>
          </w:p>
        </w:tc>
      </w:tr>
    </w:tbl>
    <w:p w14:paraId="45DBF5DD" w14:textId="77777777" w:rsidR="007B2EEB" w:rsidRDefault="007B2EEB" w:rsidP="007B2EEB">
      <w:pPr>
        <w:rPr>
          <w:b/>
          <w:bCs/>
        </w:rPr>
      </w:pPr>
    </w:p>
    <w:p w14:paraId="22740544" w14:textId="77777777" w:rsidR="007B2EEB" w:rsidRPr="007F1565" w:rsidRDefault="007B2EEB" w:rsidP="007B2EEB">
      <w:pPr>
        <w:pStyle w:val="Heading2"/>
        <w:rPr>
          <w:rFonts w:ascii="Arial" w:hAnsi="Arial" w:cs="Arial"/>
          <w:color w:val="auto"/>
        </w:rPr>
      </w:pPr>
      <w:bookmarkStart w:id="50" w:name="_Toc129939331"/>
      <w:bookmarkStart w:id="51" w:name="_Toc129939498"/>
      <w:bookmarkStart w:id="52" w:name="_Toc129940009"/>
      <w:bookmarkStart w:id="53" w:name="_Toc129940172"/>
      <w:bookmarkStart w:id="54" w:name="_Toc131156895"/>
      <w:r w:rsidRPr="007F1565">
        <w:rPr>
          <w:rFonts w:ascii="Arial" w:hAnsi="Arial" w:cs="Arial"/>
          <w:color w:val="auto"/>
        </w:rPr>
        <w:t>Procedures</w:t>
      </w:r>
      <w:bookmarkEnd w:id="50"/>
      <w:bookmarkEnd w:id="51"/>
      <w:bookmarkEnd w:id="52"/>
      <w:bookmarkEnd w:id="53"/>
      <w:bookmarkEnd w:id="54"/>
    </w:p>
    <w:tbl>
      <w:tblPr>
        <w:tblStyle w:val="TableGrid"/>
        <w:tblW w:w="8370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8"/>
        <w:gridCol w:w="6522"/>
      </w:tblGrid>
      <w:tr w:rsidR="007B2EEB" w:rsidRPr="004356CD" w14:paraId="08BCDA14" w14:textId="77777777" w:rsidTr="009C71CC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57FABD58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Procedure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493EC949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 xml:space="preserve">Description of rules and expectations: </w:t>
            </w:r>
          </w:p>
        </w:tc>
      </w:tr>
      <w:tr w:rsidR="007B2EEB" w:rsidRPr="004356CD" w14:paraId="273FEA93" w14:textId="77777777" w:rsidTr="004356CD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6DB99" w14:textId="77777777" w:rsidR="007B2EEB" w:rsidRPr="004356CD" w:rsidRDefault="007B2EEB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Agenda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236E79" w14:textId="7F7E8DEA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The </w:t>
            </w:r>
            <w:r w:rsidR="004356CD">
              <w:rPr>
                <w:color w:val="000000" w:themeColor="text1"/>
              </w:rPr>
              <w:t>C</w:t>
            </w:r>
            <w:r w:rsidRPr="004356CD">
              <w:rPr>
                <w:color w:val="000000" w:themeColor="text1"/>
              </w:rPr>
              <w:t>hair is responsible for agreeing the agenda and ensuring matters discussed meet the objectives as set out in these terms of reference.</w:t>
            </w:r>
          </w:p>
          <w:p w14:paraId="1451F565" w14:textId="59924AD8" w:rsidR="007B2EEB" w:rsidRPr="004356CD" w:rsidRDefault="007B2EEB" w:rsidP="004356CD">
            <w:pPr>
              <w:spacing w:before="120" w:after="120"/>
              <w:jc w:val="both"/>
              <w:rPr>
                <w:b/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Members are expected to identify agenda items for consideration to the </w:t>
            </w:r>
            <w:r w:rsidR="004356CD">
              <w:rPr>
                <w:color w:val="000000" w:themeColor="text1"/>
              </w:rPr>
              <w:t>C</w:t>
            </w:r>
            <w:r w:rsidRPr="004356CD">
              <w:rPr>
                <w:color w:val="000000" w:themeColor="text1"/>
              </w:rPr>
              <w:t>hair and if there are any supporting any meeting papers, using the prescribed format at least 5 working days before the meeting.</w:t>
            </w:r>
          </w:p>
        </w:tc>
      </w:tr>
      <w:tr w:rsidR="007B2EEB" w:rsidRPr="004356CD" w14:paraId="129F2A60" w14:textId="77777777" w:rsidTr="004356CD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A16DCCC" w14:textId="77777777" w:rsidR="007B2EEB" w:rsidRPr="004356CD" w:rsidRDefault="007B2EEB">
            <w:pPr>
              <w:spacing w:before="120" w:after="120"/>
              <w:rPr>
                <w:b/>
                <w:bCs/>
              </w:rPr>
            </w:pPr>
            <w:r w:rsidRPr="004356CD">
              <w:rPr>
                <w:b/>
                <w:bCs/>
              </w:rPr>
              <w:t>Conflicts of interest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A215E51" w14:textId="77777777" w:rsidR="007B2EEB" w:rsidRPr="004356CD" w:rsidRDefault="007B2EEB" w:rsidP="004356CD">
            <w:pPr>
              <w:jc w:val="both"/>
            </w:pPr>
            <w:r w:rsidRPr="004356CD">
              <w:rPr>
                <w:b/>
              </w:rPr>
              <w:t>Declarations:</w:t>
            </w:r>
            <w:r w:rsidRPr="004356CD">
              <w:t xml:space="preserve"> All members and those in attendance must declare any actual, potential, or perceived conflicts of interest. This is recorded in the notes.</w:t>
            </w:r>
          </w:p>
          <w:p w14:paraId="2D2C2BF5" w14:textId="57D90D57" w:rsidR="007B2EEB" w:rsidRPr="004356CD" w:rsidRDefault="007B2EEB" w:rsidP="004356CD">
            <w:pPr>
              <w:spacing w:before="120" w:after="120"/>
              <w:jc w:val="both"/>
            </w:pPr>
            <w:r w:rsidRPr="004356CD">
              <w:rPr>
                <w:b/>
              </w:rPr>
              <w:t>Exclusions:</w:t>
            </w:r>
            <w:r w:rsidRPr="004356CD">
              <w:t xml:space="preserve"> The </w:t>
            </w:r>
            <w:r w:rsidR="004356CD">
              <w:t>Panel</w:t>
            </w:r>
            <w:r w:rsidRPr="004356CD">
              <w:t xml:space="preserve"> will follow and apply the ICB’s Standards of Business Conduct with regards to the management of conflicts of interest. This means that the </w:t>
            </w:r>
            <w:r w:rsidR="00370938">
              <w:t>C</w:t>
            </w:r>
            <w:r w:rsidRPr="004356CD">
              <w:t>hair will consider the exclusion of members and / or attendees if individuals have a relevant material or perceived interest in a matter under consideration.</w:t>
            </w:r>
          </w:p>
        </w:tc>
      </w:tr>
      <w:tr w:rsidR="007B2EEB" w:rsidRPr="004356CD" w14:paraId="2EEF0C05" w14:textId="77777777" w:rsidTr="004356CD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296C94" w14:textId="77777777" w:rsidR="007B2EEB" w:rsidRPr="004356CD" w:rsidRDefault="007B2EEB">
            <w:pPr>
              <w:spacing w:before="120" w:after="120"/>
              <w:rPr>
                <w:b/>
                <w:bCs/>
              </w:rPr>
            </w:pPr>
            <w:r w:rsidRPr="004356CD">
              <w:rPr>
                <w:b/>
                <w:bCs/>
              </w:rPr>
              <w:t>Conduct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376372" w14:textId="5894DE2B" w:rsidR="007B2EEB" w:rsidRPr="004356CD" w:rsidRDefault="007B2EEB" w:rsidP="004356CD">
            <w:pPr>
              <w:spacing w:before="120" w:after="120"/>
              <w:jc w:val="both"/>
              <w:rPr>
                <w:b/>
              </w:rPr>
            </w:pPr>
            <w:r w:rsidRPr="004356CD">
              <w:t xml:space="preserve">The </w:t>
            </w:r>
            <w:r w:rsidR="004356CD">
              <w:t>Panel</w:t>
            </w:r>
            <w:r w:rsidRPr="004356CD">
              <w:t xml:space="preserve"> conducts its business in accordance with relevant codes of conduct / good governance practice, including the Nolan principles of public life, the ICB Standards of Business Conduct Policy, and other relevant policies / guidance on good and proper meeting conduct for NHS organisations</w:t>
            </w:r>
          </w:p>
        </w:tc>
      </w:tr>
    </w:tbl>
    <w:p w14:paraId="23ACDC2F" w14:textId="77777777" w:rsidR="007B2EEB" w:rsidRDefault="007B2EEB" w:rsidP="007B2EEB">
      <w:pPr>
        <w:ind w:left="567"/>
        <w:rPr>
          <w:b/>
          <w:bCs/>
        </w:rPr>
      </w:pPr>
    </w:p>
    <w:p w14:paraId="3987ABAD" w14:textId="77777777" w:rsidR="007B2EEB" w:rsidRDefault="007B2EEB" w:rsidP="007B2EEB">
      <w:pPr>
        <w:pStyle w:val="Heading1"/>
        <w:keepNext w:val="0"/>
        <w:keepLines w:val="0"/>
        <w:widowControl w:val="0"/>
        <w:spacing w:before="0" w:after="120"/>
        <w:ind w:left="567" w:hanging="567"/>
      </w:pPr>
      <w:bookmarkStart w:id="55" w:name="_Toc129939332"/>
      <w:bookmarkStart w:id="56" w:name="_Toc129939499"/>
      <w:bookmarkStart w:id="57" w:name="_Toc129940010"/>
      <w:bookmarkStart w:id="58" w:name="_Toc129940173"/>
      <w:bookmarkStart w:id="59" w:name="_Toc131156896"/>
      <w:r>
        <w:t>Secretariat and administration</w:t>
      </w:r>
      <w:bookmarkEnd w:id="55"/>
      <w:bookmarkEnd w:id="56"/>
      <w:bookmarkEnd w:id="57"/>
      <w:bookmarkEnd w:id="58"/>
      <w:bookmarkEnd w:id="59"/>
      <w:r>
        <w:t xml:space="preserve"> </w:t>
      </w:r>
    </w:p>
    <w:p w14:paraId="24D1D2F5" w14:textId="4D8316BA" w:rsidR="007B2EEB" w:rsidRPr="004356CD" w:rsidRDefault="007B2EEB" w:rsidP="004356CD">
      <w:pPr>
        <w:pStyle w:val="Indentedparagraph"/>
        <w:jc w:val="both"/>
        <w:rPr>
          <w:rFonts w:cs="Arial"/>
          <w:sz w:val="24"/>
          <w:szCs w:val="24"/>
        </w:rPr>
      </w:pPr>
      <w:r w:rsidRPr="004356CD">
        <w:rPr>
          <w:rFonts w:cs="Arial"/>
          <w:sz w:val="24"/>
          <w:szCs w:val="24"/>
        </w:rPr>
        <w:t xml:space="preserve">It is for the </w:t>
      </w:r>
      <w:r w:rsidR="00370938">
        <w:rPr>
          <w:rFonts w:cs="Arial"/>
          <w:sz w:val="24"/>
          <w:szCs w:val="24"/>
        </w:rPr>
        <w:t>Panel</w:t>
      </w:r>
      <w:r w:rsidRPr="004356CD">
        <w:rPr>
          <w:rFonts w:cs="Arial"/>
          <w:sz w:val="24"/>
          <w:szCs w:val="24"/>
        </w:rPr>
        <w:t xml:space="preserve"> to arrange and agree how the following functions are to be executed from within its membership or from within the resources available to </w:t>
      </w:r>
      <w:r w:rsidR="00370938">
        <w:rPr>
          <w:rFonts w:cs="Arial"/>
          <w:sz w:val="24"/>
          <w:szCs w:val="24"/>
        </w:rPr>
        <w:t>Panel</w:t>
      </w:r>
      <w:r w:rsidRPr="004356CD">
        <w:rPr>
          <w:rFonts w:cs="Arial"/>
          <w:sz w:val="24"/>
          <w:szCs w:val="24"/>
        </w:rPr>
        <w:t xml:space="preserve"> members. </w:t>
      </w:r>
    </w:p>
    <w:p w14:paraId="2096C2F1" w14:textId="77777777" w:rsidR="007B2EEB" w:rsidRPr="004356CD" w:rsidRDefault="007B2EEB" w:rsidP="004356CD">
      <w:pPr>
        <w:pStyle w:val="Indentedparagraph"/>
        <w:jc w:val="both"/>
        <w:rPr>
          <w:rFonts w:cs="Arial"/>
          <w:sz w:val="24"/>
          <w:szCs w:val="24"/>
        </w:rPr>
      </w:pPr>
    </w:p>
    <w:tbl>
      <w:tblPr>
        <w:tblStyle w:val="TableGrid"/>
        <w:tblW w:w="8940" w:type="dxa"/>
        <w:tblInd w:w="562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9"/>
        <w:gridCol w:w="7091"/>
      </w:tblGrid>
      <w:tr w:rsidR="007B2EEB" w:rsidRPr="004356CD" w14:paraId="38085123" w14:textId="77777777" w:rsidTr="009C71CC">
        <w:trPr>
          <w:tblHeader/>
        </w:trPr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hideMark/>
          </w:tcPr>
          <w:p w14:paraId="52C16B65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Functions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hideMark/>
          </w:tcPr>
          <w:p w14:paraId="6141E558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Description</w:t>
            </w:r>
          </w:p>
        </w:tc>
      </w:tr>
      <w:tr w:rsidR="007B2EEB" w:rsidRPr="004356CD" w14:paraId="5FBA7611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1D8255" w14:textId="77777777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Distribute papers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1DCFD2" w14:textId="017E9688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Prepare and distribute the agenda and any papers following their agreement by the </w:t>
            </w:r>
            <w:r w:rsidR="004356CD">
              <w:rPr>
                <w:color w:val="000000" w:themeColor="text1"/>
              </w:rPr>
              <w:t>C</w:t>
            </w:r>
            <w:r w:rsidRPr="004356CD">
              <w:rPr>
                <w:color w:val="000000" w:themeColor="text1"/>
              </w:rPr>
              <w:t>hair with the support of the relevant executive lead.</w:t>
            </w:r>
          </w:p>
        </w:tc>
      </w:tr>
      <w:tr w:rsidR="007B2EEB" w:rsidRPr="004356CD" w14:paraId="1C1BA47E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F504EA8" w14:textId="77777777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lastRenderedPageBreak/>
              <w:t>Monitor attendance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6E64CC3" w14:textId="67A3786C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Cs/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Monitor the attendance of those invited to each meeting and highlight to the </w:t>
            </w:r>
            <w:r w:rsidR="004356CD">
              <w:rPr>
                <w:color w:val="000000" w:themeColor="text1"/>
              </w:rPr>
              <w:t>C</w:t>
            </w:r>
            <w:r w:rsidRPr="004356CD">
              <w:rPr>
                <w:color w:val="000000" w:themeColor="text1"/>
              </w:rPr>
              <w:t>hair those that are not meeting the minimum attendance requirements.</w:t>
            </w:r>
          </w:p>
        </w:tc>
      </w:tr>
      <w:tr w:rsidR="007B2EEB" w:rsidRPr="004356CD" w14:paraId="2D866284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822C78" w14:textId="77777777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Maintain records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F0E85C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 xml:space="preserve">Maintain a record of member contact details. </w:t>
            </w:r>
          </w:p>
          <w:p w14:paraId="640EF97F" w14:textId="77777777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Cs/>
                <w:color w:val="000000" w:themeColor="text1"/>
              </w:rPr>
            </w:pPr>
            <w:r w:rsidRPr="004356CD">
              <w:rPr>
                <w:color w:val="000000" w:themeColor="text1"/>
              </w:rPr>
              <w:t>Maintain a record of conflicts of interest.</w:t>
            </w:r>
          </w:p>
        </w:tc>
      </w:tr>
      <w:tr w:rsidR="007B2EEB" w:rsidRPr="004356CD" w14:paraId="11B67DB6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77E3294" w14:textId="77777777" w:rsidR="007B2EEB" w:rsidRPr="004356CD" w:rsidRDefault="007B2EEB" w:rsidP="004356CD">
            <w:pPr>
              <w:spacing w:before="120" w:after="120"/>
              <w:jc w:val="both"/>
              <w:rPr>
                <w:rFonts w:eastAsia="Times New Roman"/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Note Taking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F671C53" w14:textId="37CC7A24" w:rsidR="007B2EEB" w:rsidRPr="004356CD" w:rsidRDefault="004356CD" w:rsidP="004356CD">
            <w:pPr>
              <w:spacing w:before="120" w:after="120"/>
              <w:jc w:val="both"/>
              <w:rPr>
                <w:rFonts w:eastAsia="Times New Roman"/>
                <w:bCs/>
                <w:color w:val="000000" w:themeColor="text1"/>
              </w:rPr>
            </w:pPr>
            <w:r w:rsidRPr="004356CD">
              <w:rPr>
                <w:color w:val="000000" w:themeColor="text1"/>
              </w:rPr>
              <w:t>It is suggested that g</w:t>
            </w:r>
            <w:r w:rsidR="007B2EEB" w:rsidRPr="004356CD">
              <w:rPr>
                <w:color w:val="000000" w:themeColor="text1"/>
              </w:rPr>
              <w:t xml:space="preserve">ood quality notes are taken and agreed with the </w:t>
            </w:r>
            <w:r>
              <w:rPr>
                <w:color w:val="000000" w:themeColor="text1"/>
              </w:rPr>
              <w:t>C</w:t>
            </w:r>
            <w:r w:rsidR="007B2EEB" w:rsidRPr="004356CD">
              <w:rPr>
                <w:color w:val="000000" w:themeColor="text1"/>
              </w:rPr>
              <w:t>hair, and if required keep a bulleted record of matters arising, action points and issues to be carried forward.</w:t>
            </w:r>
          </w:p>
        </w:tc>
      </w:tr>
      <w:tr w:rsidR="007B2EEB" w:rsidRPr="004356CD" w14:paraId="393A7C13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10175A0" w14:textId="77777777" w:rsidR="007B2EEB" w:rsidRPr="004356CD" w:rsidRDefault="007B2EEB" w:rsidP="00E960F6">
            <w:pPr>
              <w:spacing w:before="120" w:after="120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Support for Chair &amp; Committee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00A520B" w14:textId="2B4215C3" w:rsidR="007B2EEB" w:rsidRPr="004356CD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E960F6">
              <w:rPr>
                <w:color w:val="000000" w:themeColor="text1"/>
              </w:rPr>
              <w:t>If requested by the committee, s</w:t>
            </w:r>
            <w:r w:rsidR="007B2EEB" w:rsidRPr="004356CD">
              <w:rPr>
                <w:color w:val="000000" w:themeColor="text1"/>
              </w:rPr>
              <w:t xml:space="preserve">upport the </w:t>
            </w:r>
            <w:r>
              <w:rPr>
                <w:color w:val="000000" w:themeColor="text1"/>
              </w:rPr>
              <w:t>C</w:t>
            </w:r>
            <w:r w:rsidR="007B2EEB" w:rsidRPr="004356CD">
              <w:rPr>
                <w:color w:val="000000" w:themeColor="text1"/>
              </w:rPr>
              <w:t xml:space="preserve">hair in preparing and delivering reports. </w:t>
            </w:r>
          </w:p>
          <w:p w14:paraId="36FA3E72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4356CD">
              <w:rPr>
                <w:color w:val="000000" w:themeColor="text1"/>
              </w:rPr>
              <w:t>Take forward action points between meetings and monitor progress against those actions.</w:t>
            </w:r>
          </w:p>
        </w:tc>
      </w:tr>
      <w:tr w:rsidR="007B2EEB" w:rsidRPr="004356CD" w14:paraId="7C9FD051" w14:textId="77777777" w:rsidTr="007B2EEB"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3B6A485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</w:rPr>
            </w:pPr>
            <w:r w:rsidRPr="004356CD">
              <w:rPr>
                <w:b/>
                <w:bCs/>
              </w:rPr>
              <w:t>Governance advice</w:t>
            </w: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0D23DF5" w14:textId="0D5CB826" w:rsidR="007B2EEB" w:rsidRPr="004356CD" w:rsidRDefault="007B2EEB" w:rsidP="004356CD">
            <w:pPr>
              <w:spacing w:before="120" w:after="120"/>
              <w:ind w:right="-112"/>
              <w:jc w:val="both"/>
            </w:pPr>
            <w:r w:rsidRPr="004356CD">
              <w:t xml:space="preserve">Governance advice may be obtained from the </w:t>
            </w:r>
            <w:r w:rsidR="00E960F6" w:rsidRPr="00E960F6">
              <w:t xml:space="preserve">Corporate </w:t>
            </w:r>
            <w:r w:rsidRPr="004356CD">
              <w:t>Governance Team.</w:t>
            </w:r>
          </w:p>
        </w:tc>
      </w:tr>
    </w:tbl>
    <w:p w14:paraId="1A07BE58" w14:textId="77777777" w:rsidR="007B2EEB" w:rsidRPr="004356CD" w:rsidRDefault="007B2EEB" w:rsidP="004356CD">
      <w:pPr>
        <w:jc w:val="both"/>
        <w:rPr>
          <w:b/>
          <w:bCs/>
        </w:rPr>
      </w:pPr>
    </w:p>
    <w:p w14:paraId="361E06D1" w14:textId="77777777" w:rsidR="007B2EEB" w:rsidRDefault="007B2EEB" w:rsidP="004356CD">
      <w:pPr>
        <w:jc w:val="both"/>
        <w:rPr>
          <w:b/>
          <w:bCs/>
        </w:rPr>
      </w:pPr>
    </w:p>
    <w:p w14:paraId="236EAC39" w14:textId="77777777" w:rsidR="003771C6" w:rsidRDefault="003771C6" w:rsidP="004356CD">
      <w:pPr>
        <w:jc w:val="both"/>
        <w:rPr>
          <w:b/>
          <w:bCs/>
        </w:rPr>
      </w:pPr>
    </w:p>
    <w:p w14:paraId="71AA96AA" w14:textId="77777777" w:rsidR="003771C6" w:rsidRPr="004356CD" w:rsidRDefault="003771C6" w:rsidP="004356CD">
      <w:pPr>
        <w:jc w:val="both"/>
        <w:rPr>
          <w:b/>
          <w:bCs/>
        </w:rPr>
      </w:pPr>
    </w:p>
    <w:p w14:paraId="38F85964" w14:textId="77777777" w:rsidR="007B2EEB" w:rsidRPr="004356CD" w:rsidRDefault="007B2EEB" w:rsidP="004356CD">
      <w:pPr>
        <w:pStyle w:val="Heading1"/>
        <w:keepNext w:val="0"/>
        <w:keepLines w:val="0"/>
        <w:widowControl w:val="0"/>
        <w:spacing w:before="0" w:after="120"/>
        <w:ind w:left="567" w:hanging="567"/>
        <w:jc w:val="both"/>
        <w:rPr>
          <w:sz w:val="24"/>
          <w:szCs w:val="24"/>
        </w:rPr>
      </w:pPr>
      <w:bookmarkStart w:id="60" w:name="_Toc129939333"/>
      <w:bookmarkStart w:id="61" w:name="_Toc129939500"/>
      <w:bookmarkStart w:id="62" w:name="_Toc129940011"/>
      <w:bookmarkStart w:id="63" w:name="_Toc129940174"/>
      <w:bookmarkStart w:id="64" w:name="_Toc131156897"/>
      <w:r w:rsidRPr="004356CD">
        <w:rPr>
          <w:sz w:val="24"/>
          <w:szCs w:val="24"/>
        </w:rPr>
        <w:t>Appendix 1: Approval History</w:t>
      </w:r>
      <w:bookmarkEnd w:id="60"/>
      <w:bookmarkEnd w:id="61"/>
      <w:bookmarkEnd w:id="62"/>
      <w:bookmarkEnd w:id="63"/>
      <w:bookmarkEnd w:id="64"/>
    </w:p>
    <w:p w14:paraId="2A8A2686" w14:textId="77777777" w:rsidR="007B2EEB" w:rsidRPr="004356CD" w:rsidRDefault="007B2EEB" w:rsidP="004356CD">
      <w:pPr>
        <w:jc w:val="both"/>
      </w:pPr>
    </w:p>
    <w:tbl>
      <w:tblPr>
        <w:tblStyle w:val="TableGrid"/>
        <w:tblW w:w="9514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242"/>
        <w:gridCol w:w="453"/>
        <w:gridCol w:w="2283"/>
        <w:gridCol w:w="356"/>
        <w:gridCol w:w="241"/>
        <w:gridCol w:w="236"/>
        <w:gridCol w:w="62"/>
        <w:gridCol w:w="2713"/>
        <w:gridCol w:w="794"/>
      </w:tblGrid>
      <w:tr w:rsidR="00E960F6" w:rsidRPr="004356CD" w14:paraId="78B4A5DE" w14:textId="77777777" w:rsidTr="009C71CC">
        <w:trPr>
          <w:trHeight w:val="482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10F4AA50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Version</w:t>
            </w:r>
          </w:p>
        </w:tc>
        <w:tc>
          <w:tcPr>
            <w:tcW w:w="169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15368B6B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688F3EDE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Approved by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</w:tcPr>
          <w:p w14:paraId="5A6BB0ED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</w:p>
        </w:tc>
        <w:tc>
          <w:tcPr>
            <w:tcW w:w="35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hideMark/>
          </w:tcPr>
          <w:p w14:paraId="706F4B9C" w14:textId="77777777" w:rsidR="007B2EEB" w:rsidRPr="004356CD" w:rsidRDefault="007B2EEB" w:rsidP="004356CD">
            <w:pPr>
              <w:spacing w:before="120" w:after="120"/>
              <w:ind w:right="-2374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 xml:space="preserve">       Status</w:t>
            </w:r>
          </w:p>
        </w:tc>
      </w:tr>
      <w:tr w:rsidR="00E960F6" w:rsidRPr="004356CD" w14:paraId="0C3FCBC2" w14:textId="77777777" w:rsidTr="009C71CC">
        <w:trPr>
          <w:gridAfter w:val="1"/>
          <w:wAfter w:w="794" w:type="dxa"/>
          <w:trHeight w:val="61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DAC9EC" w14:textId="77777777" w:rsidR="007B2EEB" w:rsidRPr="003771C6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V1.0</w:t>
            </w:r>
          </w:p>
          <w:p w14:paraId="454C1BC7" w14:textId="27107F49" w:rsidR="00E960F6" w:rsidRPr="004356CD" w:rsidRDefault="00E960F6" w:rsidP="004356CD">
            <w:pPr>
              <w:spacing w:before="120" w:after="120"/>
              <w:jc w:val="both"/>
              <w:rPr>
                <w:color w:val="000000" w:themeColor="text1"/>
                <w:highlight w:val="yellow"/>
              </w:rPr>
            </w:pPr>
            <w:r w:rsidRPr="003771C6">
              <w:rPr>
                <w:color w:val="000000" w:themeColor="text1"/>
              </w:rPr>
              <w:t>V2.0</w:t>
            </w: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55124D8" w14:textId="21CCA89B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March 2024</w:t>
            </w:r>
          </w:p>
          <w:p w14:paraId="13D26AF3" w14:textId="10F359E7" w:rsidR="00E960F6" w:rsidRPr="004356CD" w:rsidRDefault="00E960F6" w:rsidP="004356CD">
            <w:pPr>
              <w:spacing w:before="120" w:after="120"/>
              <w:jc w:val="both"/>
              <w:rPr>
                <w:color w:val="000000" w:themeColor="text1"/>
                <w:highlight w:val="yellow"/>
              </w:rPr>
            </w:pPr>
            <w:r w:rsidRPr="003771C6">
              <w:rPr>
                <w:color w:val="000000" w:themeColor="text1"/>
              </w:rPr>
              <w:t>Feb 2024</w:t>
            </w: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B5E665B" w14:textId="77777777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Executive Committee</w:t>
            </w:r>
          </w:p>
          <w:p w14:paraId="0A5DB4F6" w14:textId="352A5F1E" w:rsidR="00E960F6" w:rsidRPr="004356CD" w:rsidRDefault="00E960F6" w:rsidP="00E960F6">
            <w:pPr>
              <w:spacing w:before="120" w:after="120"/>
              <w:ind w:right="-115"/>
              <w:rPr>
                <w:color w:val="000000" w:themeColor="text1"/>
                <w:highlight w:val="yellow"/>
              </w:rPr>
            </w:pPr>
            <w:r w:rsidRPr="003771C6">
              <w:rPr>
                <w:color w:val="000000" w:themeColor="text1"/>
              </w:rPr>
              <w:t>Investment &amp; Vacancy Panel</w:t>
            </w:r>
          </w:p>
        </w:tc>
        <w:tc>
          <w:tcPr>
            <w:tcW w:w="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F3FC30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  <w:highlight w:val="yellow"/>
              </w:rPr>
            </w:pPr>
          </w:p>
        </w:tc>
        <w:tc>
          <w:tcPr>
            <w:tcW w:w="3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1E7688" w14:textId="77777777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 xml:space="preserve">         April 2023</w:t>
            </w:r>
          </w:p>
          <w:p w14:paraId="761E8777" w14:textId="1B0AD109" w:rsidR="00E960F6" w:rsidRPr="004356CD" w:rsidRDefault="00E960F6" w:rsidP="004356CD">
            <w:pPr>
              <w:spacing w:before="120" w:after="120"/>
              <w:jc w:val="both"/>
              <w:rPr>
                <w:color w:val="000000" w:themeColor="text1"/>
                <w:highlight w:val="yellow"/>
              </w:rPr>
            </w:pPr>
            <w:r w:rsidRPr="003771C6">
              <w:rPr>
                <w:color w:val="000000" w:themeColor="text1"/>
              </w:rPr>
              <w:t xml:space="preserve">         Feb 2024</w:t>
            </w:r>
          </w:p>
        </w:tc>
      </w:tr>
      <w:tr w:rsidR="00E960F6" w:rsidRPr="004356CD" w14:paraId="681C3B5C" w14:textId="77777777" w:rsidTr="009C71CC">
        <w:trPr>
          <w:gridAfter w:val="1"/>
          <w:wAfter w:w="794" w:type="dxa"/>
          <w:trHeight w:val="61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7877C5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6976D13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047B3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B50AD" w14:textId="77777777" w:rsidR="007B2EEB" w:rsidRPr="004356CD" w:rsidRDefault="007B2EEB" w:rsidP="004356CD">
            <w:pPr>
              <w:spacing w:before="120" w:after="120"/>
              <w:ind w:left="294" w:hanging="294"/>
              <w:jc w:val="both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22F4F5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</w:tr>
      <w:tr w:rsidR="00E960F6" w:rsidRPr="004356CD" w14:paraId="29C8FEC8" w14:textId="77777777" w:rsidTr="009C71CC">
        <w:trPr>
          <w:gridAfter w:val="1"/>
          <w:wAfter w:w="794" w:type="dxa"/>
          <w:trHeight w:val="618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1E28E4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12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137EF6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2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FA4576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89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0478C26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D83DD5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</w:tr>
    </w:tbl>
    <w:p w14:paraId="1EE2FDD3" w14:textId="77777777" w:rsidR="007B2EEB" w:rsidRPr="004356CD" w:rsidRDefault="007B2EEB" w:rsidP="004356CD">
      <w:pPr>
        <w:jc w:val="both"/>
      </w:pPr>
    </w:p>
    <w:p w14:paraId="05303FDA" w14:textId="77777777" w:rsidR="007B2EEB" w:rsidRPr="004356CD" w:rsidRDefault="007B2EEB" w:rsidP="004356CD">
      <w:pPr>
        <w:pStyle w:val="Heading1"/>
        <w:keepNext w:val="0"/>
        <w:keepLines w:val="0"/>
        <w:widowControl w:val="0"/>
        <w:spacing w:before="0" w:after="120"/>
        <w:ind w:left="567" w:hanging="567"/>
        <w:jc w:val="both"/>
        <w:rPr>
          <w:sz w:val="24"/>
          <w:szCs w:val="24"/>
        </w:rPr>
      </w:pPr>
      <w:bookmarkStart w:id="65" w:name="_Toc129939334"/>
      <w:bookmarkStart w:id="66" w:name="_Toc129939501"/>
      <w:bookmarkStart w:id="67" w:name="_Toc129940012"/>
      <w:bookmarkStart w:id="68" w:name="_Toc129940175"/>
      <w:bookmarkStart w:id="69" w:name="_Toc131156898"/>
      <w:r w:rsidRPr="004356CD">
        <w:rPr>
          <w:sz w:val="24"/>
          <w:szCs w:val="24"/>
        </w:rPr>
        <w:t>Appendix 2: Review History</w:t>
      </w:r>
      <w:bookmarkEnd w:id="65"/>
      <w:bookmarkEnd w:id="66"/>
      <w:bookmarkEnd w:id="67"/>
      <w:bookmarkEnd w:id="68"/>
      <w:bookmarkEnd w:id="69"/>
    </w:p>
    <w:p w14:paraId="270E4A84" w14:textId="77777777" w:rsidR="007B2EEB" w:rsidRPr="004356CD" w:rsidRDefault="007B2EEB" w:rsidP="004356CD">
      <w:pPr>
        <w:jc w:val="both"/>
      </w:pPr>
    </w:p>
    <w:tbl>
      <w:tblPr>
        <w:tblStyle w:val="TableGrid"/>
        <w:tblW w:w="9495" w:type="dxa"/>
        <w:tblInd w:w="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851"/>
        <w:gridCol w:w="28"/>
        <w:gridCol w:w="1672"/>
        <w:gridCol w:w="1020"/>
        <w:gridCol w:w="539"/>
        <w:gridCol w:w="425"/>
        <w:gridCol w:w="3827"/>
      </w:tblGrid>
      <w:tr w:rsidR="007B2EEB" w:rsidRPr="004356CD" w14:paraId="5A9BD7D5" w14:textId="77777777" w:rsidTr="009C71CC">
        <w:trPr>
          <w:trHeight w:val="463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6A4D65E5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Version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364AE805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Date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vAlign w:val="center"/>
            <w:hideMark/>
          </w:tcPr>
          <w:p w14:paraId="72B3DBE2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Reviewed by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hideMark/>
          </w:tcPr>
          <w:p w14:paraId="790765A8" w14:textId="77777777" w:rsidR="007B2EEB" w:rsidRPr="004356CD" w:rsidRDefault="007B2EEB" w:rsidP="004356CD">
            <w:pPr>
              <w:spacing w:before="120" w:after="120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Changes Required Y/N?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EECE1"/>
            <w:hideMark/>
          </w:tcPr>
          <w:p w14:paraId="2BD3E847" w14:textId="77777777" w:rsidR="007B2EEB" w:rsidRPr="004356CD" w:rsidRDefault="007B2EEB" w:rsidP="004356CD">
            <w:pPr>
              <w:spacing w:before="120" w:after="120"/>
              <w:ind w:right="-2374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Summary of changes</w:t>
            </w:r>
          </w:p>
          <w:p w14:paraId="7B82A436" w14:textId="77777777" w:rsidR="007B2EEB" w:rsidRPr="004356CD" w:rsidRDefault="007B2EEB" w:rsidP="004356CD">
            <w:pPr>
              <w:spacing w:before="120" w:after="120"/>
              <w:ind w:right="-2374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>(</w:t>
            </w:r>
            <w:proofErr w:type="gramStart"/>
            <w:r w:rsidRPr="004356CD">
              <w:rPr>
                <w:b/>
                <w:bCs/>
                <w:color w:val="000000" w:themeColor="text1"/>
              </w:rPr>
              <w:t>once</w:t>
            </w:r>
            <w:proofErr w:type="gramEnd"/>
            <w:r w:rsidRPr="004356CD">
              <w:rPr>
                <w:b/>
                <w:bCs/>
                <w:color w:val="000000" w:themeColor="text1"/>
              </w:rPr>
              <w:t xml:space="preserve"> changes are approved</w:t>
            </w:r>
          </w:p>
          <w:p w14:paraId="5DE2A334" w14:textId="77777777" w:rsidR="007B2EEB" w:rsidRPr="004356CD" w:rsidRDefault="007B2EEB" w:rsidP="004356CD">
            <w:pPr>
              <w:spacing w:before="120" w:after="120"/>
              <w:ind w:right="-2374"/>
              <w:jc w:val="both"/>
              <w:rPr>
                <w:b/>
                <w:bCs/>
                <w:color w:val="000000" w:themeColor="text1"/>
              </w:rPr>
            </w:pPr>
            <w:r w:rsidRPr="004356CD">
              <w:rPr>
                <w:b/>
                <w:bCs/>
                <w:color w:val="000000" w:themeColor="text1"/>
              </w:rPr>
              <w:t xml:space="preserve"> Appendix 1 should be updated)</w:t>
            </w:r>
          </w:p>
        </w:tc>
      </w:tr>
      <w:tr w:rsidR="007B2EEB" w:rsidRPr="004356CD" w14:paraId="5383657A" w14:textId="77777777" w:rsidTr="007B2EEB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B3ED55" w14:textId="77777777" w:rsidR="007B2EEB" w:rsidRPr="003771C6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V1.0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A49F62" w14:textId="48837CBE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Mar 23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28353B6" w14:textId="7ACCA94F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Executive Committee</w:t>
            </w:r>
          </w:p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32F302D" w14:textId="77777777" w:rsidR="007B2EEB" w:rsidRPr="003771C6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N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81DFD" w14:textId="6CDAA80B" w:rsidR="007B2EEB" w:rsidRPr="003771C6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 w:rsidRPr="003771C6">
              <w:rPr>
                <w:color w:val="000000" w:themeColor="text1"/>
              </w:rPr>
              <w:t>Approved</w:t>
            </w:r>
          </w:p>
        </w:tc>
      </w:tr>
      <w:tr w:rsidR="007B2EEB" w:rsidRPr="004356CD" w14:paraId="0F86C652" w14:textId="77777777" w:rsidTr="007B2EEB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D8C8BE" w14:textId="59BD20E7" w:rsidR="007B2EEB" w:rsidRPr="004356CD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V2.0 </w:t>
            </w: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19A0F8C" w14:textId="20F71807" w:rsidR="007B2EEB" w:rsidRPr="004356CD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Feb 24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E531E57" w14:textId="6A94F6C8" w:rsidR="007B2EEB" w:rsidRPr="004356CD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Investment &amp; Vacancy Panel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BFB717" w14:textId="6FCC4626" w:rsidR="007B2EEB" w:rsidRPr="004356CD" w:rsidRDefault="00E960F6" w:rsidP="004356CD">
            <w:pPr>
              <w:spacing w:before="120" w:after="120"/>
              <w:ind w:left="294" w:hanging="294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Y</w:t>
            </w: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DFB746" w14:textId="5C88F802" w:rsidR="007B2EEB" w:rsidRPr="004356CD" w:rsidRDefault="00E960F6" w:rsidP="004356CD">
            <w:pPr>
              <w:spacing w:before="120" w:after="12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Minor amendments as new template and job tiles amended in line with the 2.0 Transformation Programme</w:t>
            </w:r>
          </w:p>
        </w:tc>
      </w:tr>
      <w:tr w:rsidR="007B2EEB" w:rsidRPr="004356CD" w14:paraId="2110A6C5" w14:textId="77777777" w:rsidTr="007B2EEB">
        <w:trPr>
          <w:trHeight w:val="594"/>
        </w:trPr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72F754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8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5872C8E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C511A8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436494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  <w:tc>
          <w:tcPr>
            <w:tcW w:w="4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0762FB3" w14:textId="77777777" w:rsidR="007B2EEB" w:rsidRPr="004356CD" w:rsidRDefault="007B2EEB" w:rsidP="004356CD">
            <w:pPr>
              <w:spacing w:before="120" w:after="120"/>
              <w:jc w:val="both"/>
              <w:rPr>
                <w:color w:val="000000" w:themeColor="text1"/>
              </w:rPr>
            </w:pPr>
          </w:p>
        </w:tc>
      </w:tr>
    </w:tbl>
    <w:p w14:paraId="16DA84A6" w14:textId="77777777" w:rsidR="007B2EEB" w:rsidRPr="004356CD" w:rsidRDefault="007B2EEB" w:rsidP="004356CD">
      <w:pPr>
        <w:jc w:val="both"/>
      </w:pPr>
    </w:p>
    <w:p w14:paraId="581F86CE" w14:textId="77777777" w:rsidR="007B2EEB" w:rsidRPr="004356CD" w:rsidRDefault="007B2EEB" w:rsidP="004356CD">
      <w:pPr>
        <w:jc w:val="both"/>
      </w:pPr>
    </w:p>
    <w:p w14:paraId="4C837702" w14:textId="0F316DFB" w:rsidR="007B2EEB" w:rsidRPr="004356CD" w:rsidRDefault="007B2EEB" w:rsidP="004356CD">
      <w:pPr>
        <w:jc w:val="both"/>
        <w:rPr>
          <w:color w:val="000000" w:themeColor="text1"/>
        </w:rPr>
      </w:pPr>
      <w:r w:rsidRPr="004356CD">
        <w:rPr>
          <w:b/>
          <w:bCs/>
          <w:color w:val="000000" w:themeColor="text1"/>
        </w:rPr>
        <w:t>Review date:</w:t>
      </w:r>
      <w:r w:rsidRPr="004356CD">
        <w:rPr>
          <w:color w:val="000000" w:themeColor="text1"/>
        </w:rPr>
        <w:t xml:space="preserve"> </w:t>
      </w:r>
      <w:r w:rsidR="00E960F6">
        <w:rPr>
          <w:color w:val="000000" w:themeColor="text1"/>
        </w:rPr>
        <w:t>20 February 2024</w:t>
      </w:r>
    </w:p>
    <w:p w14:paraId="6A797053" w14:textId="48F9FAA3" w:rsidR="007B2EEB" w:rsidRPr="004356CD" w:rsidRDefault="007B2EEB" w:rsidP="004356CD">
      <w:pPr>
        <w:jc w:val="both"/>
        <w:rPr>
          <w:color w:val="000000" w:themeColor="text1"/>
        </w:rPr>
      </w:pPr>
      <w:r w:rsidRPr="004356CD">
        <w:rPr>
          <w:b/>
          <w:bCs/>
          <w:color w:val="000000" w:themeColor="text1"/>
        </w:rPr>
        <w:t>Contact:</w:t>
      </w:r>
      <w:r w:rsidRPr="004356CD">
        <w:rPr>
          <w:color w:val="000000" w:themeColor="text1"/>
        </w:rPr>
        <w:t xml:space="preserve"> </w:t>
      </w:r>
      <w:r w:rsidR="009C71CC">
        <w:rPr>
          <w:color w:val="000000" w:themeColor="text1"/>
        </w:rPr>
        <w:t xml:space="preserve">ICB Corporate Governance Team </w:t>
      </w:r>
    </w:p>
    <w:p w14:paraId="4FD70FDF" w14:textId="77777777" w:rsidR="007B2EEB" w:rsidRPr="004356CD" w:rsidRDefault="007B2EEB" w:rsidP="004356CD">
      <w:pPr>
        <w:jc w:val="both"/>
        <w:rPr>
          <w:color w:val="000000" w:themeColor="text1"/>
        </w:rPr>
      </w:pPr>
    </w:p>
    <w:p w14:paraId="0888B130" w14:textId="77777777" w:rsidR="007B2EEB" w:rsidRPr="004356CD" w:rsidRDefault="007B2EEB" w:rsidP="004356CD">
      <w:pPr>
        <w:jc w:val="both"/>
        <w:rPr>
          <w:color w:val="000000" w:themeColor="text1"/>
        </w:rPr>
      </w:pPr>
      <w:r w:rsidRPr="004356CD">
        <w:rPr>
          <w:b/>
          <w:bCs/>
        </w:rPr>
        <w:t>Document control</w:t>
      </w:r>
    </w:p>
    <w:p w14:paraId="7F022360" w14:textId="4AB7B101" w:rsidR="007B2EEB" w:rsidRPr="004356CD" w:rsidRDefault="007B2EEB" w:rsidP="004356CD">
      <w:pPr>
        <w:jc w:val="both"/>
      </w:pPr>
      <w:r w:rsidRPr="004356CD">
        <w:t xml:space="preserve">The controlled copy of this document is maintained by the </w:t>
      </w:r>
      <w:r w:rsidR="00E960F6">
        <w:t>Panel's</w:t>
      </w:r>
      <w:r w:rsidRPr="004356CD">
        <w:t xml:space="preserve"> </w:t>
      </w:r>
      <w:r w:rsidR="00E960F6">
        <w:t>L</w:t>
      </w:r>
      <w:r w:rsidRPr="004356CD">
        <w:t xml:space="preserve">ead </w:t>
      </w:r>
      <w:r w:rsidR="00E960F6">
        <w:t>O</w:t>
      </w:r>
      <w:r w:rsidRPr="004356CD">
        <w:t>fficer.</w:t>
      </w:r>
    </w:p>
    <w:p w14:paraId="101408C6" w14:textId="77777777" w:rsidR="007B2EEB" w:rsidRPr="004356CD" w:rsidRDefault="007B2EEB" w:rsidP="004356CD">
      <w:pPr>
        <w:jc w:val="both"/>
      </w:pPr>
    </w:p>
    <w:p w14:paraId="12681A47" w14:textId="77777777" w:rsidR="001A43E2" w:rsidRPr="004356CD" w:rsidRDefault="001A43E2" w:rsidP="004356CD">
      <w:pPr>
        <w:jc w:val="both"/>
      </w:pPr>
    </w:p>
    <w:sectPr w:rsidR="001A43E2" w:rsidRPr="004356CD" w:rsidSect="00D00CF4">
      <w:pgSz w:w="11906" w:h="16838"/>
      <w:pgMar w:top="907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EC9A7" w14:textId="77777777" w:rsidR="00622451" w:rsidRDefault="00622451" w:rsidP="00622451">
      <w:r>
        <w:separator/>
      </w:r>
    </w:p>
  </w:endnote>
  <w:endnote w:type="continuationSeparator" w:id="0">
    <w:p w14:paraId="71F78A3F" w14:textId="77777777" w:rsidR="00622451" w:rsidRDefault="00622451" w:rsidP="00622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71A3A" w14:textId="77777777" w:rsidR="00622451" w:rsidRDefault="00622451" w:rsidP="00622451">
      <w:r>
        <w:separator/>
      </w:r>
    </w:p>
  </w:footnote>
  <w:footnote w:type="continuationSeparator" w:id="0">
    <w:p w14:paraId="1ED0C7A8" w14:textId="77777777" w:rsidR="00622451" w:rsidRDefault="00622451" w:rsidP="006224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E09D5"/>
    <w:multiLevelType w:val="hybridMultilevel"/>
    <w:tmpl w:val="F02ED408"/>
    <w:lvl w:ilvl="0" w:tplc="C25CE7BA">
      <w:start w:val="1"/>
      <w:numFmt w:val="bullet"/>
      <w:pStyle w:val="Bullet"/>
      <w:lvlText w:val=""/>
      <w:lvlJc w:val="left"/>
      <w:pPr>
        <w:ind w:left="2346" w:hanging="360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1" w15:restartNumberingAfterBreak="0">
    <w:nsid w:val="42FA453B"/>
    <w:multiLevelType w:val="hybridMultilevel"/>
    <w:tmpl w:val="5832D42E"/>
    <w:lvl w:ilvl="0" w:tplc="290ADF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E93EE5"/>
    <w:multiLevelType w:val="hybridMultilevel"/>
    <w:tmpl w:val="ACB6553C"/>
    <w:lvl w:ilvl="0" w:tplc="290ADF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47FDA"/>
    <w:multiLevelType w:val="hybridMultilevel"/>
    <w:tmpl w:val="59822148"/>
    <w:lvl w:ilvl="0" w:tplc="290ADF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567011"/>
    <w:multiLevelType w:val="hybridMultilevel"/>
    <w:tmpl w:val="297A98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3C5F5B"/>
    <w:multiLevelType w:val="hybridMultilevel"/>
    <w:tmpl w:val="242AAD12"/>
    <w:lvl w:ilvl="0" w:tplc="290ADF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6A6F7E8F"/>
    <w:multiLevelType w:val="hybridMultilevel"/>
    <w:tmpl w:val="15608318"/>
    <w:lvl w:ilvl="0" w:tplc="290ADF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5F2CA4"/>
    <w:multiLevelType w:val="hybridMultilevel"/>
    <w:tmpl w:val="ADB0D7AA"/>
    <w:lvl w:ilvl="0" w:tplc="290ADF16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759359">
    <w:abstractNumId w:val="0"/>
  </w:num>
  <w:num w:numId="2" w16cid:durableId="1355574250">
    <w:abstractNumId w:val="4"/>
  </w:num>
  <w:num w:numId="3" w16cid:durableId="2069256813">
    <w:abstractNumId w:val="4"/>
  </w:num>
  <w:num w:numId="4" w16cid:durableId="1664891006">
    <w:abstractNumId w:val="5"/>
  </w:num>
  <w:num w:numId="5" w16cid:durableId="307054055">
    <w:abstractNumId w:val="7"/>
  </w:num>
  <w:num w:numId="6" w16cid:durableId="840126715">
    <w:abstractNumId w:val="6"/>
  </w:num>
  <w:num w:numId="7" w16cid:durableId="1055932355">
    <w:abstractNumId w:val="3"/>
  </w:num>
  <w:num w:numId="8" w16cid:durableId="1770853628">
    <w:abstractNumId w:val="2"/>
  </w:num>
  <w:num w:numId="9" w16cid:durableId="12593708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2EEB"/>
    <w:rsid w:val="0004000D"/>
    <w:rsid w:val="00180D90"/>
    <w:rsid w:val="001A43E2"/>
    <w:rsid w:val="002755DC"/>
    <w:rsid w:val="00327E0C"/>
    <w:rsid w:val="00370938"/>
    <w:rsid w:val="003771C6"/>
    <w:rsid w:val="004356CD"/>
    <w:rsid w:val="005E7970"/>
    <w:rsid w:val="006172E4"/>
    <w:rsid w:val="00622451"/>
    <w:rsid w:val="006A4552"/>
    <w:rsid w:val="007B2EEB"/>
    <w:rsid w:val="007F1565"/>
    <w:rsid w:val="009A34EA"/>
    <w:rsid w:val="009C71CC"/>
    <w:rsid w:val="009E3779"/>
    <w:rsid w:val="00A3284B"/>
    <w:rsid w:val="00AC62BD"/>
    <w:rsid w:val="00B3286A"/>
    <w:rsid w:val="00D00CF4"/>
    <w:rsid w:val="00E960F6"/>
    <w:rsid w:val="00F23314"/>
    <w:rsid w:val="00F60439"/>
    <w:rsid w:val="00FF7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DE543"/>
  <w15:chartTrackingRefBased/>
  <w15:docId w15:val="{E2B6C686-038E-44B9-8EDB-CE235A49A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2EEB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7B2EEB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Heading2">
    <w:name w:val="heading 2"/>
    <w:aliases w:val="Heading 10"/>
    <w:basedOn w:val="Normal"/>
    <w:next w:val="Normal"/>
    <w:link w:val="Heading2Char"/>
    <w:semiHidden/>
    <w:unhideWhenUsed/>
    <w:qFormat/>
    <w:rsid w:val="007B2EE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B2EEB"/>
    <w:rPr>
      <w:rFonts w:ascii="Arial" w:eastAsiaTheme="majorEastAsia" w:hAnsi="Arial" w:cstheme="majorBidi"/>
      <w:b/>
      <w:bCs/>
      <w:kern w:val="0"/>
      <w:sz w:val="28"/>
      <w:szCs w:val="28"/>
      <w14:ligatures w14:val="none"/>
    </w:rPr>
  </w:style>
  <w:style w:type="character" w:customStyle="1" w:styleId="Heading2Char">
    <w:name w:val="Heading 2 Char"/>
    <w:aliases w:val="Heading 10 Char"/>
    <w:basedOn w:val="DefaultParagraphFont"/>
    <w:link w:val="Heading2"/>
    <w:semiHidden/>
    <w:rsid w:val="007B2EEB"/>
    <w:rPr>
      <w:rFonts w:asciiTheme="majorHAnsi" w:eastAsiaTheme="majorEastAsia" w:hAnsiTheme="majorHAnsi" w:cstheme="majorBidi"/>
      <w:b/>
      <w:bCs/>
      <w:color w:val="4472C4" w:themeColor="accent1"/>
      <w:kern w:val="0"/>
      <w:sz w:val="26"/>
      <w:szCs w:val="26"/>
      <w14:ligatures w14:val="none"/>
    </w:rPr>
  </w:style>
  <w:style w:type="character" w:styleId="Hyperlink">
    <w:name w:val="Hyperlink"/>
    <w:basedOn w:val="DefaultParagraphFont"/>
    <w:uiPriority w:val="99"/>
    <w:unhideWhenUsed/>
    <w:rsid w:val="007B2EE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2EEB"/>
    <w:rPr>
      <w:rFonts w:ascii="Times New Roman" w:eastAsia="Times New Roman" w:hAnsi="Times New Roman" w:cs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7B2EEB"/>
    <w:pPr>
      <w:spacing w:before="240" w:after="120"/>
    </w:pPr>
    <w:rPr>
      <w:rFonts w:asciiTheme="minorHAnsi" w:hAnsiTheme="minorHAnsi" w:cstheme="minorHAnsi"/>
      <w:b/>
      <w:bC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7B2EEB"/>
    <w:pPr>
      <w:spacing w:before="120"/>
      <w:ind w:left="240"/>
    </w:pPr>
    <w:rPr>
      <w:rFonts w:asciiTheme="minorHAnsi" w:hAnsiTheme="minorHAnsi" w:cstheme="minorHAnsi"/>
      <w:i/>
      <w:iCs/>
      <w:sz w:val="20"/>
      <w:szCs w:val="20"/>
    </w:rPr>
  </w:style>
  <w:style w:type="character" w:customStyle="1" w:styleId="ListParagraphChar">
    <w:name w:val="List Paragraph Char"/>
    <w:aliases w:val="F5 List Paragraph Char,List Paragraph1 Char,Dot pt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7B2EEB"/>
    <w:rPr>
      <w:rFonts w:ascii="Arial" w:hAnsi="Arial" w:cs="Arial"/>
      <w:sz w:val="24"/>
      <w:szCs w:val="24"/>
    </w:rPr>
  </w:style>
  <w:style w:type="paragraph" w:styleId="ListParagraph">
    <w:name w:val="List Paragraph"/>
    <w:aliases w:val="F5 List Paragraph,List Paragraph1,Dot pt,No Spacing1,List Paragraph Char Char Char,Indicator Text,Colorful List - Accent 11,Numbered Para 1,Bullet 1,Bullet Points,MAIN CONTENT,List Paragraph2,Normal numbered,List Paragraph11,OBC Bullet,L"/>
    <w:basedOn w:val="Normal"/>
    <w:link w:val="ListParagraphChar"/>
    <w:uiPriority w:val="34"/>
    <w:qFormat/>
    <w:rsid w:val="007B2EEB"/>
    <w:pPr>
      <w:ind w:left="720"/>
      <w:contextualSpacing/>
    </w:pPr>
    <w:rPr>
      <w:kern w:val="2"/>
      <w14:ligatures w14:val="standardContextual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B2EEB"/>
    <w:pPr>
      <w:spacing w:line="276" w:lineRule="auto"/>
      <w:outlineLvl w:val="9"/>
    </w:pPr>
    <w:rPr>
      <w:lang w:val="en-US" w:eastAsia="ja-JP"/>
    </w:rPr>
  </w:style>
  <w:style w:type="paragraph" w:customStyle="1" w:styleId="Indentedparagraph">
    <w:name w:val="Indented paragraph"/>
    <w:basedOn w:val="Normal"/>
    <w:uiPriority w:val="99"/>
    <w:qFormat/>
    <w:rsid w:val="007B2EEB"/>
    <w:pPr>
      <w:spacing w:before="120" w:after="120"/>
      <w:ind w:left="567"/>
    </w:pPr>
    <w:rPr>
      <w:rFonts w:eastAsia="Calibri" w:cstheme="minorHAnsi"/>
      <w:color w:val="000000" w:themeColor="text1"/>
      <w:sz w:val="22"/>
      <w:szCs w:val="22"/>
      <w:lang w:eastAsia="en-GB"/>
    </w:rPr>
  </w:style>
  <w:style w:type="paragraph" w:customStyle="1" w:styleId="Bullet">
    <w:name w:val="Bullet"/>
    <w:basedOn w:val="Indentedparagraph"/>
    <w:uiPriority w:val="99"/>
    <w:qFormat/>
    <w:rsid w:val="007B2EEB"/>
    <w:pPr>
      <w:numPr>
        <w:numId w:val="1"/>
      </w:numPr>
      <w:ind w:left="851" w:hanging="284"/>
    </w:pPr>
  </w:style>
  <w:style w:type="paragraph" w:customStyle="1" w:styleId="Tableparagraph">
    <w:name w:val="Table paragraph"/>
    <w:basedOn w:val="Normal"/>
    <w:uiPriority w:val="99"/>
    <w:qFormat/>
    <w:rsid w:val="007B2EEB"/>
    <w:pPr>
      <w:spacing w:before="120" w:after="120"/>
    </w:pPr>
    <w:rPr>
      <w:rFonts w:eastAsia="Calibri"/>
      <w:color w:val="000000" w:themeColor="text1"/>
      <w:sz w:val="22"/>
      <w:szCs w:val="22"/>
      <w:lang w:eastAsia="en-GB"/>
    </w:rPr>
  </w:style>
  <w:style w:type="paragraph" w:customStyle="1" w:styleId="Tablepara">
    <w:name w:val="Table para"/>
    <w:basedOn w:val="Normal"/>
    <w:uiPriority w:val="99"/>
    <w:qFormat/>
    <w:rsid w:val="007B2EEB"/>
    <w:pPr>
      <w:spacing w:before="120" w:after="120"/>
    </w:pPr>
    <w:rPr>
      <w:rFonts w:eastAsia="Calibri"/>
      <w:color w:val="000000" w:themeColor="text1"/>
      <w:sz w:val="22"/>
      <w:szCs w:val="22"/>
      <w:lang w:eastAsia="en-GB"/>
    </w:rPr>
  </w:style>
  <w:style w:type="table" w:styleId="TableGrid">
    <w:name w:val="Table Grid"/>
    <w:basedOn w:val="TableNormal"/>
    <w:uiPriority w:val="39"/>
    <w:rsid w:val="007B2EEB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B2EEB"/>
    <w:pPr>
      <w:spacing w:after="0" w:line="240" w:lineRule="auto"/>
    </w:pPr>
    <w:rPr>
      <w:rFonts w:ascii="Arial" w:hAnsi="Arial" w:cs="Arial"/>
      <w:kern w:val="0"/>
      <w:sz w:val="24"/>
      <w:szCs w:val="24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B328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286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3286A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28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286A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62245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451"/>
    <w:rPr>
      <w:rFonts w:ascii="Arial" w:hAnsi="Arial" w:cs="Arial"/>
      <w:kern w:val="0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2245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451"/>
    <w:rPr>
      <w:rFonts w:ascii="Arial" w:hAnsi="Arial" w:cs="Arial"/>
      <w:kern w:val="0"/>
      <w:sz w:val="24"/>
      <w:szCs w:val="24"/>
      <w14:ligatures w14:val="none"/>
    </w:rPr>
  </w:style>
  <w:style w:type="table" w:customStyle="1" w:styleId="TableGrid1">
    <w:name w:val="Table Grid1"/>
    <w:basedOn w:val="TableNormal"/>
    <w:next w:val="TableGrid"/>
    <w:uiPriority w:val="59"/>
    <w:rsid w:val="00622451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76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3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8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3" Type="http://schemas.openxmlformats.org/officeDocument/2006/relationships/settings" Target="settings.xml"/><Relationship Id="rId21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7" Type="http://schemas.openxmlformats.org/officeDocument/2006/relationships/image" Target="media/image1.png"/><Relationship Id="rId12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7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2" Type="http://schemas.openxmlformats.org/officeDocument/2006/relationships/styles" Target="styles.xml"/><Relationship Id="rId16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20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5" Type="http://schemas.openxmlformats.org/officeDocument/2006/relationships/footnotes" Target="footnotes.xml"/><Relationship Id="rId15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23" Type="http://schemas.openxmlformats.org/officeDocument/2006/relationships/theme" Target="theme/theme1.xml"/><Relationship Id="rId10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9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14" Type="http://schemas.openxmlformats.org/officeDocument/2006/relationships/hyperlink" Target="file:///C:\Users\brenda.thomas\AppData\Local\Microsoft\Windows\INetCache\Content.Outlook\66SJWLXA\SOP%20Establishing%20Sub%20Committees%20and%20Groups%20v3.0%20FINAL.docx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2104</Words>
  <Characters>11996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THOMAS, Brenda (NHS NORTH EAST AND NORTH CUMBRIA ICB - 01H)</dc:creator>
  <cp:keywords/>
  <dc:description/>
  <cp:lastModifiedBy>HERRON, Rebecca (NHS NORTH EAST AND NORTH CUMBRIA ICB - 00P)</cp:lastModifiedBy>
  <cp:revision>6</cp:revision>
  <dcterms:created xsi:type="dcterms:W3CDTF">2024-02-27T15:10:00Z</dcterms:created>
  <dcterms:modified xsi:type="dcterms:W3CDTF">2024-03-17T14:33:00Z</dcterms:modified>
</cp:coreProperties>
</file>