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87C6" w14:textId="2A4EF99B" w:rsidR="00E06F93" w:rsidRDefault="00412089" w:rsidP="00412089">
      <w:pPr>
        <w:spacing w:after="200" w:line="276" w:lineRule="auto"/>
        <w:jc w:val="right"/>
      </w:pPr>
      <w:r>
        <w:rPr>
          <w:noProof/>
        </w:rPr>
        <w:drawing>
          <wp:inline distT="0" distB="0" distL="0" distR="0" wp14:anchorId="32CA8195" wp14:editId="1DD9F58A">
            <wp:extent cx="1709420" cy="1029140"/>
            <wp:effectExtent l="0" t="0" r="508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1494" cy="104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561A2" w14:textId="77777777" w:rsidR="00F94EA1" w:rsidRPr="0056032D" w:rsidRDefault="00F94EA1" w:rsidP="00F94EA1"/>
    <w:p w14:paraId="63B2E9AE" w14:textId="77777777" w:rsidR="00E06F93" w:rsidRDefault="00E06F93" w:rsidP="00E06F93">
      <w:pPr>
        <w:rPr>
          <w:rFonts w:eastAsia="Arial"/>
          <w:b/>
          <w:bCs/>
          <w:sz w:val="32"/>
          <w:szCs w:val="32"/>
        </w:rPr>
      </w:pPr>
    </w:p>
    <w:p w14:paraId="61BB938C" w14:textId="1AAC17BE" w:rsidR="00E06F93" w:rsidRDefault="00E06F93" w:rsidP="008916FB">
      <w:pPr>
        <w:pStyle w:val="BodyText"/>
        <w:jc w:val="right"/>
      </w:pPr>
    </w:p>
    <w:p w14:paraId="430218EF" w14:textId="77777777" w:rsidR="00412089" w:rsidRPr="004B4920" w:rsidRDefault="00412089" w:rsidP="008916FB">
      <w:pPr>
        <w:pStyle w:val="BodyText"/>
        <w:jc w:val="right"/>
      </w:pPr>
    </w:p>
    <w:p w14:paraId="74184BCE" w14:textId="77777777" w:rsidR="00E06F93" w:rsidRDefault="00E06F93" w:rsidP="00E06F93"/>
    <w:p w14:paraId="45638AFB" w14:textId="77777777" w:rsidR="00F963DF" w:rsidRDefault="005F0F2B" w:rsidP="00E06F9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People &amp; Organisational Development</w:t>
      </w:r>
      <w:r w:rsidR="00E06F93" w:rsidRPr="00571BCF">
        <w:rPr>
          <w:b/>
          <w:bCs/>
          <w:sz w:val="36"/>
          <w:szCs w:val="36"/>
        </w:rPr>
        <w:t xml:space="preserve"> </w:t>
      </w:r>
    </w:p>
    <w:p w14:paraId="632117E4" w14:textId="0D67122E" w:rsidR="00E06F93" w:rsidRDefault="00E06F93" w:rsidP="00E06F93">
      <w:pPr>
        <w:jc w:val="center"/>
        <w:rPr>
          <w:b/>
          <w:bCs/>
          <w:sz w:val="36"/>
          <w:szCs w:val="36"/>
        </w:rPr>
      </w:pPr>
      <w:r w:rsidRPr="00571BCF">
        <w:rPr>
          <w:b/>
          <w:bCs/>
          <w:sz w:val="36"/>
          <w:szCs w:val="36"/>
        </w:rPr>
        <w:t>Sub</w:t>
      </w:r>
      <w:r w:rsidR="00C95C38">
        <w:rPr>
          <w:b/>
          <w:bCs/>
          <w:sz w:val="36"/>
          <w:szCs w:val="36"/>
        </w:rPr>
        <w:t>c</w:t>
      </w:r>
      <w:r w:rsidRPr="00571BCF">
        <w:rPr>
          <w:b/>
          <w:bCs/>
          <w:sz w:val="36"/>
          <w:szCs w:val="36"/>
        </w:rPr>
        <w:t>ommittee</w:t>
      </w:r>
      <w:r w:rsidR="005F0F2B">
        <w:rPr>
          <w:b/>
          <w:bCs/>
          <w:sz w:val="36"/>
          <w:szCs w:val="36"/>
        </w:rPr>
        <w:t xml:space="preserve"> Terms of Reference</w:t>
      </w:r>
    </w:p>
    <w:p w14:paraId="72F25295" w14:textId="77777777" w:rsidR="0080678A" w:rsidRPr="00571BCF" w:rsidRDefault="0080678A" w:rsidP="00E06F93">
      <w:pPr>
        <w:jc w:val="center"/>
        <w:rPr>
          <w:b/>
          <w:bCs/>
          <w:sz w:val="36"/>
          <w:szCs w:val="36"/>
        </w:rPr>
      </w:pPr>
    </w:p>
    <w:p w14:paraId="079E81FD" w14:textId="77777777" w:rsidR="00E06F93" w:rsidRDefault="00E06F93" w:rsidP="00E06F93">
      <w:pPr>
        <w:rPr>
          <w:b/>
          <w:bCs/>
        </w:rPr>
      </w:pPr>
    </w:p>
    <w:p w14:paraId="464A3B79" w14:textId="77777777" w:rsidR="00412089" w:rsidRDefault="00412089" w:rsidP="00E06F93">
      <w:pPr>
        <w:rPr>
          <w:b/>
          <w:bCs/>
        </w:rPr>
      </w:pPr>
    </w:p>
    <w:p w14:paraId="0FE51889" w14:textId="77777777" w:rsidR="00412089" w:rsidRDefault="00412089" w:rsidP="00E06F93">
      <w:pPr>
        <w:rPr>
          <w:b/>
          <w:bCs/>
        </w:rPr>
      </w:pPr>
    </w:p>
    <w:p w14:paraId="6DC1442E" w14:textId="77777777" w:rsidR="00412089" w:rsidRDefault="00412089" w:rsidP="00E06F93">
      <w:pPr>
        <w:rPr>
          <w:b/>
          <w:bCs/>
        </w:rPr>
      </w:pPr>
    </w:p>
    <w:p w14:paraId="7CE0BE94" w14:textId="77777777" w:rsidR="00412089" w:rsidRDefault="00412089" w:rsidP="00E06F93">
      <w:pPr>
        <w:rPr>
          <w:b/>
          <w:bCs/>
        </w:rPr>
      </w:pPr>
    </w:p>
    <w:p w14:paraId="6751C638" w14:textId="77777777" w:rsidR="00412089" w:rsidRDefault="00412089" w:rsidP="00E06F93">
      <w:pPr>
        <w:rPr>
          <w:b/>
          <w:bCs/>
        </w:rPr>
      </w:pPr>
    </w:p>
    <w:p w14:paraId="55474BDE" w14:textId="77777777" w:rsidR="00412089" w:rsidRDefault="00412089" w:rsidP="00E06F93">
      <w:pPr>
        <w:rPr>
          <w:b/>
          <w:bCs/>
        </w:rPr>
      </w:pPr>
    </w:p>
    <w:p w14:paraId="63C686E0" w14:textId="77777777" w:rsidR="00412089" w:rsidRDefault="00412089" w:rsidP="00E06F93">
      <w:pPr>
        <w:rPr>
          <w:b/>
          <w:bCs/>
        </w:rPr>
      </w:pPr>
    </w:p>
    <w:p w14:paraId="451C110D" w14:textId="77777777" w:rsidR="00412089" w:rsidRDefault="00412089" w:rsidP="00E06F93">
      <w:pPr>
        <w:rPr>
          <w:b/>
          <w:bCs/>
        </w:rPr>
      </w:pPr>
    </w:p>
    <w:p w14:paraId="4D1BB294" w14:textId="77777777" w:rsidR="00412089" w:rsidRDefault="00412089" w:rsidP="00E06F93">
      <w:pPr>
        <w:rPr>
          <w:b/>
          <w:bCs/>
        </w:rPr>
      </w:pPr>
    </w:p>
    <w:p w14:paraId="7518F897" w14:textId="77777777" w:rsidR="00412089" w:rsidRDefault="00412089" w:rsidP="00E06F93">
      <w:pPr>
        <w:rPr>
          <w:b/>
          <w:bCs/>
        </w:rPr>
      </w:pPr>
    </w:p>
    <w:p w14:paraId="26ADBC3D" w14:textId="77777777" w:rsidR="00412089" w:rsidRDefault="00412089" w:rsidP="00E06F93">
      <w:pPr>
        <w:rPr>
          <w:b/>
          <w:bCs/>
        </w:rPr>
      </w:pPr>
    </w:p>
    <w:p w14:paraId="1840FE39" w14:textId="77777777" w:rsidR="00412089" w:rsidRDefault="00412089" w:rsidP="00E06F93">
      <w:pPr>
        <w:rPr>
          <w:b/>
          <w:bCs/>
        </w:rPr>
      </w:pPr>
    </w:p>
    <w:p w14:paraId="23757AC3" w14:textId="77777777" w:rsidR="00412089" w:rsidRDefault="00412089" w:rsidP="00E06F93">
      <w:pPr>
        <w:rPr>
          <w:b/>
          <w:bCs/>
        </w:rPr>
      </w:pPr>
    </w:p>
    <w:p w14:paraId="4ED7CAFD" w14:textId="77777777" w:rsidR="00412089" w:rsidRDefault="00412089" w:rsidP="00E06F93">
      <w:pPr>
        <w:rPr>
          <w:b/>
          <w:bCs/>
        </w:rPr>
      </w:pPr>
    </w:p>
    <w:p w14:paraId="734A065A" w14:textId="77777777" w:rsidR="00412089" w:rsidRDefault="00412089" w:rsidP="00E06F93">
      <w:pPr>
        <w:rPr>
          <w:b/>
          <w:bCs/>
        </w:rPr>
      </w:pPr>
    </w:p>
    <w:p w14:paraId="038FFBAC" w14:textId="193C026C" w:rsidR="00412089" w:rsidRDefault="00412089" w:rsidP="00412089">
      <w:pPr>
        <w:tabs>
          <w:tab w:val="left" w:pos="3612"/>
        </w:tabs>
        <w:rPr>
          <w:b/>
          <w:bCs/>
        </w:rPr>
      </w:pPr>
      <w:r>
        <w:rPr>
          <w:b/>
          <w:bCs/>
        </w:rPr>
        <w:tab/>
      </w:r>
    </w:p>
    <w:p w14:paraId="0D7C6006" w14:textId="77777777" w:rsidR="00412089" w:rsidRDefault="00412089" w:rsidP="00E06F93">
      <w:pPr>
        <w:rPr>
          <w:b/>
          <w:bCs/>
        </w:rPr>
      </w:pPr>
    </w:p>
    <w:p w14:paraId="7C907C7E" w14:textId="77777777" w:rsidR="00412089" w:rsidRDefault="00412089" w:rsidP="00E06F93">
      <w:pPr>
        <w:rPr>
          <w:b/>
          <w:bCs/>
        </w:rPr>
      </w:pPr>
    </w:p>
    <w:p w14:paraId="2FDF4DE9" w14:textId="77777777" w:rsidR="00412089" w:rsidRDefault="00412089" w:rsidP="00E06F93">
      <w:pPr>
        <w:rPr>
          <w:b/>
          <w:bCs/>
        </w:rPr>
      </w:pPr>
    </w:p>
    <w:p w14:paraId="76D53A31" w14:textId="77777777" w:rsidR="00412089" w:rsidRDefault="00412089" w:rsidP="00E06F93">
      <w:pPr>
        <w:rPr>
          <w:b/>
          <w:bCs/>
        </w:rPr>
      </w:pPr>
    </w:p>
    <w:p w14:paraId="73F46E98" w14:textId="77777777" w:rsidR="00412089" w:rsidRDefault="00412089" w:rsidP="00E06F93">
      <w:pPr>
        <w:rPr>
          <w:b/>
          <w:bCs/>
        </w:rPr>
      </w:pPr>
    </w:p>
    <w:p w14:paraId="592E2553" w14:textId="77777777" w:rsidR="00412089" w:rsidRDefault="00412089" w:rsidP="00E06F93">
      <w:pPr>
        <w:rPr>
          <w:b/>
          <w:bCs/>
        </w:rPr>
      </w:pPr>
    </w:p>
    <w:p w14:paraId="678216E7" w14:textId="77777777" w:rsidR="00412089" w:rsidRDefault="00412089" w:rsidP="00E06F93">
      <w:pPr>
        <w:rPr>
          <w:b/>
          <w:bCs/>
        </w:rPr>
      </w:pPr>
    </w:p>
    <w:p w14:paraId="4108DE6C" w14:textId="77777777" w:rsidR="00412089" w:rsidRDefault="00412089" w:rsidP="00E06F93">
      <w:pPr>
        <w:rPr>
          <w:b/>
          <w:bCs/>
        </w:rPr>
      </w:pPr>
    </w:p>
    <w:p w14:paraId="041E62F0" w14:textId="77777777" w:rsidR="00412089" w:rsidRDefault="00412089" w:rsidP="00E06F93">
      <w:pPr>
        <w:rPr>
          <w:b/>
          <w:bCs/>
        </w:rPr>
      </w:pPr>
    </w:p>
    <w:p w14:paraId="6E58D465" w14:textId="77777777" w:rsidR="00412089" w:rsidRDefault="00412089" w:rsidP="00E06F93">
      <w:pPr>
        <w:rPr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en-GB" w:eastAsia="en-US"/>
        </w:rPr>
        <w:id w:val="-306250321"/>
        <w:docPartObj>
          <w:docPartGallery w:val="Table of Contents"/>
          <w:docPartUnique/>
        </w:docPartObj>
      </w:sdtPr>
      <w:sdtEndPr>
        <w:rPr>
          <w:rFonts w:ascii="Arial" w:hAnsi="Arial" w:cs="Arial"/>
          <w:noProof/>
        </w:rPr>
      </w:sdtEndPr>
      <w:sdtContent>
        <w:p w14:paraId="66ED798F" w14:textId="77777777" w:rsidR="00E06F93" w:rsidRDefault="00E06F93" w:rsidP="00E06F93">
          <w:pPr>
            <w:pStyle w:val="TOCHeading"/>
          </w:pPr>
          <w:r>
            <w:t>Table of Contents</w:t>
          </w:r>
        </w:p>
        <w:p w14:paraId="22EE6A0A" w14:textId="336905E6" w:rsidR="00607FEA" w:rsidRPr="001B7CCD" w:rsidRDefault="00A73D41">
          <w:pPr>
            <w:pStyle w:val="TOC1"/>
            <w:tabs>
              <w:tab w:val="left" w:pos="480"/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r w:rsidRPr="001B7CCD">
            <w:rPr>
              <w:rFonts w:ascii="Arial" w:hAnsi="Arial" w:cs="Arial"/>
              <w:caps/>
            </w:rPr>
            <w:fldChar w:fldCharType="begin"/>
          </w:r>
          <w:r w:rsidRPr="001B7CCD">
            <w:rPr>
              <w:rFonts w:ascii="Arial" w:hAnsi="Arial" w:cs="Arial"/>
              <w:caps/>
            </w:rPr>
            <w:instrText xml:space="preserve"> TOC \o "1-2" \h \z \u </w:instrText>
          </w:r>
          <w:r w:rsidRPr="001B7CCD">
            <w:rPr>
              <w:rFonts w:ascii="Arial" w:hAnsi="Arial" w:cs="Arial"/>
              <w:caps/>
            </w:rPr>
            <w:fldChar w:fldCharType="separate"/>
          </w:r>
          <w:hyperlink w:anchor="_Toc163657081" w:history="1">
            <w:r w:rsidR="00607FEA" w:rsidRPr="001B7CCD">
              <w:rPr>
                <w:rStyle w:val="Hyperlink"/>
                <w:rFonts w:ascii="Arial" w:hAnsi="Arial" w:cs="Arial"/>
                <w:noProof/>
              </w:rPr>
              <w:t>1.</w:t>
            </w:r>
            <w:r w:rsidR="00607FEA" w:rsidRPr="001B7CCD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="00607FEA" w:rsidRPr="001B7CCD">
              <w:rPr>
                <w:rStyle w:val="Hyperlink"/>
                <w:rFonts w:ascii="Arial" w:hAnsi="Arial" w:cs="Arial"/>
                <w:noProof/>
              </w:rPr>
              <w:t>Establishment</w:t>
            </w:r>
            <w:r w:rsidR="00607FEA" w:rsidRPr="001B7CCD">
              <w:rPr>
                <w:rFonts w:ascii="Arial" w:hAnsi="Arial" w:cs="Arial"/>
                <w:noProof/>
                <w:webHidden/>
              </w:rPr>
              <w:tab/>
            </w:r>
            <w:r w:rsidR="00607FEA" w:rsidRPr="001B7CCD">
              <w:rPr>
                <w:rFonts w:ascii="Arial" w:hAnsi="Arial" w:cs="Arial"/>
                <w:noProof/>
                <w:webHidden/>
              </w:rPr>
              <w:fldChar w:fldCharType="begin"/>
            </w:r>
            <w:r w:rsidR="00607FEA" w:rsidRPr="001B7CCD">
              <w:rPr>
                <w:rFonts w:ascii="Arial" w:hAnsi="Arial" w:cs="Arial"/>
                <w:noProof/>
                <w:webHidden/>
              </w:rPr>
              <w:instrText xml:space="preserve"> PAGEREF _Toc163657081 \h </w:instrText>
            </w:r>
            <w:r w:rsidR="00607FEA" w:rsidRPr="001B7CCD">
              <w:rPr>
                <w:rFonts w:ascii="Arial" w:hAnsi="Arial" w:cs="Arial"/>
                <w:noProof/>
                <w:webHidden/>
              </w:rPr>
            </w:r>
            <w:r w:rsidR="00607FEA" w:rsidRPr="001B7CC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22AF">
              <w:rPr>
                <w:rFonts w:ascii="Arial" w:hAnsi="Arial" w:cs="Arial"/>
                <w:noProof/>
                <w:webHidden/>
              </w:rPr>
              <w:t>3</w:t>
            </w:r>
            <w:r w:rsidR="00607FEA" w:rsidRPr="001B7CC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66C598" w14:textId="35D49AE9" w:rsidR="00607FEA" w:rsidRPr="001B7CCD" w:rsidRDefault="00607FEA">
          <w:pPr>
            <w:pStyle w:val="TOC1"/>
            <w:tabs>
              <w:tab w:val="left" w:pos="480"/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82" w:history="1">
            <w:r w:rsidRPr="001B7CCD">
              <w:rPr>
                <w:rStyle w:val="Hyperlink"/>
                <w:rFonts w:ascii="Arial" w:hAnsi="Arial" w:cs="Arial"/>
                <w:noProof/>
              </w:rPr>
              <w:t>2.</w:t>
            </w:r>
            <w:r w:rsidRPr="001B7CCD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1B7CCD">
              <w:rPr>
                <w:rStyle w:val="Hyperlink"/>
                <w:rFonts w:ascii="Arial" w:hAnsi="Arial" w:cs="Arial"/>
                <w:noProof/>
              </w:rPr>
              <w:t>Terms of reference:</w:t>
            </w:r>
            <w:r w:rsidRPr="001B7CCD">
              <w:rPr>
                <w:rFonts w:ascii="Arial" w:hAnsi="Arial" w:cs="Arial"/>
                <w:noProof/>
                <w:webHidden/>
              </w:rPr>
              <w:tab/>
            </w:r>
            <w:r w:rsidRPr="001B7CC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B7CCD">
              <w:rPr>
                <w:rFonts w:ascii="Arial" w:hAnsi="Arial" w:cs="Arial"/>
                <w:noProof/>
                <w:webHidden/>
              </w:rPr>
              <w:instrText xml:space="preserve"> PAGEREF _Toc163657082 \h </w:instrText>
            </w:r>
            <w:r w:rsidRPr="001B7CCD">
              <w:rPr>
                <w:rFonts w:ascii="Arial" w:hAnsi="Arial" w:cs="Arial"/>
                <w:noProof/>
                <w:webHidden/>
              </w:rPr>
            </w:r>
            <w:r w:rsidRPr="001B7CC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22AF">
              <w:rPr>
                <w:rFonts w:ascii="Arial" w:hAnsi="Arial" w:cs="Arial"/>
                <w:noProof/>
                <w:webHidden/>
              </w:rPr>
              <w:t>3</w:t>
            </w:r>
            <w:r w:rsidRPr="001B7CC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B72865" w14:textId="30B7F5A9" w:rsidR="00607FEA" w:rsidRPr="001B7CCD" w:rsidRDefault="00607FEA">
          <w:pPr>
            <w:pStyle w:val="TOC1"/>
            <w:tabs>
              <w:tab w:val="left" w:pos="480"/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83" w:history="1">
            <w:r w:rsidRPr="001B7CCD">
              <w:rPr>
                <w:rStyle w:val="Hyperlink"/>
                <w:rFonts w:ascii="Arial" w:hAnsi="Arial" w:cs="Arial"/>
                <w:noProof/>
              </w:rPr>
              <w:t>3.</w:t>
            </w:r>
            <w:r w:rsidRPr="001B7CCD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1B7CCD">
              <w:rPr>
                <w:rStyle w:val="Hyperlink"/>
                <w:rFonts w:ascii="Arial" w:hAnsi="Arial" w:cs="Arial"/>
                <w:noProof/>
              </w:rPr>
              <w:t>Purpose</w:t>
            </w:r>
            <w:r w:rsidRPr="001B7CCD">
              <w:rPr>
                <w:rFonts w:ascii="Arial" w:hAnsi="Arial" w:cs="Arial"/>
                <w:noProof/>
                <w:webHidden/>
              </w:rPr>
              <w:tab/>
            </w:r>
            <w:r w:rsidRPr="001B7CC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B7CCD">
              <w:rPr>
                <w:rFonts w:ascii="Arial" w:hAnsi="Arial" w:cs="Arial"/>
                <w:noProof/>
                <w:webHidden/>
              </w:rPr>
              <w:instrText xml:space="preserve"> PAGEREF _Toc163657083 \h </w:instrText>
            </w:r>
            <w:r w:rsidRPr="001B7CCD">
              <w:rPr>
                <w:rFonts w:ascii="Arial" w:hAnsi="Arial" w:cs="Arial"/>
                <w:noProof/>
                <w:webHidden/>
              </w:rPr>
            </w:r>
            <w:r w:rsidRPr="001B7CC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22AF">
              <w:rPr>
                <w:rFonts w:ascii="Arial" w:hAnsi="Arial" w:cs="Arial"/>
                <w:noProof/>
                <w:webHidden/>
              </w:rPr>
              <w:t>3</w:t>
            </w:r>
            <w:r w:rsidRPr="001B7CC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956BCE" w14:textId="7E4BA175" w:rsidR="00607FEA" w:rsidRPr="001B7CCD" w:rsidRDefault="00607FEA">
          <w:pPr>
            <w:pStyle w:val="TOC1"/>
            <w:tabs>
              <w:tab w:val="left" w:pos="480"/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84" w:history="1">
            <w:r w:rsidRPr="001B7CCD">
              <w:rPr>
                <w:rStyle w:val="Hyperlink"/>
                <w:rFonts w:ascii="Arial" w:hAnsi="Arial" w:cs="Arial"/>
                <w:noProof/>
              </w:rPr>
              <w:t>4.</w:t>
            </w:r>
            <w:r w:rsidRPr="001B7CCD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1B7CCD">
              <w:rPr>
                <w:rStyle w:val="Hyperlink"/>
                <w:rFonts w:ascii="Arial" w:hAnsi="Arial" w:cs="Arial"/>
                <w:noProof/>
              </w:rPr>
              <w:t>Roles and responsibilities</w:t>
            </w:r>
            <w:r w:rsidRPr="001B7CCD">
              <w:rPr>
                <w:rFonts w:ascii="Arial" w:hAnsi="Arial" w:cs="Arial"/>
                <w:noProof/>
                <w:webHidden/>
              </w:rPr>
              <w:tab/>
            </w:r>
            <w:r w:rsidRPr="001B7CC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B7CCD">
              <w:rPr>
                <w:rFonts w:ascii="Arial" w:hAnsi="Arial" w:cs="Arial"/>
                <w:noProof/>
                <w:webHidden/>
              </w:rPr>
              <w:instrText xml:space="preserve"> PAGEREF _Toc163657084 \h </w:instrText>
            </w:r>
            <w:r w:rsidRPr="001B7CCD">
              <w:rPr>
                <w:rFonts w:ascii="Arial" w:hAnsi="Arial" w:cs="Arial"/>
                <w:noProof/>
                <w:webHidden/>
              </w:rPr>
            </w:r>
            <w:r w:rsidRPr="001B7CC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22AF">
              <w:rPr>
                <w:rFonts w:ascii="Arial" w:hAnsi="Arial" w:cs="Arial"/>
                <w:noProof/>
                <w:webHidden/>
              </w:rPr>
              <w:t>3</w:t>
            </w:r>
            <w:r w:rsidRPr="001B7CC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5591C1" w14:textId="19B6B90F" w:rsidR="00607FEA" w:rsidRPr="001B7CCD" w:rsidRDefault="00607FEA">
          <w:pPr>
            <w:pStyle w:val="TOC2"/>
            <w:rPr>
              <w:rFonts w:eastAsiaTheme="minorEastAsia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85" w:history="1">
            <w:r w:rsidRPr="001B7CCD">
              <w:rPr>
                <w:rStyle w:val="Hyperlink"/>
              </w:rPr>
              <w:t>4.1 Duties</w:t>
            </w:r>
            <w:r w:rsidRPr="001B7CCD">
              <w:rPr>
                <w:webHidden/>
              </w:rPr>
              <w:tab/>
            </w:r>
            <w:r w:rsidRPr="001B7CCD">
              <w:rPr>
                <w:webHidden/>
              </w:rPr>
              <w:fldChar w:fldCharType="begin"/>
            </w:r>
            <w:r w:rsidRPr="001B7CCD">
              <w:rPr>
                <w:webHidden/>
              </w:rPr>
              <w:instrText xml:space="preserve"> PAGEREF _Toc163657085 \h </w:instrText>
            </w:r>
            <w:r w:rsidRPr="001B7CCD">
              <w:rPr>
                <w:webHidden/>
              </w:rPr>
            </w:r>
            <w:r w:rsidRPr="001B7CCD">
              <w:rPr>
                <w:webHidden/>
              </w:rPr>
              <w:fldChar w:fldCharType="separate"/>
            </w:r>
            <w:r w:rsidR="008922AF">
              <w:rPr>
                <w:webHidden/>
              </w:rPr>
              <w:t>3</w:t>
            </w:r>
            <w:r w:rsidRPr="001B7CCD">
              <w:rPr>
                <w:webHidden/>
              </w:rPr>
              <w:fldChar w:fldCharType="end"/>
            </w:r>
          </w:hyperlink>
        </w:p>
        <w:p w14:paraId="29C583BD" w14:textId="4A1CECA7" w:rsidR="00607FEA" w:rsidRPr="001B7CCD" w:rsidRDefault="00607FEA">
          <w:pPr>
            <w:pStyle w:val="TOC2"/>
            <w:rPr>
              <w:rFonts w:eastAsiaTheme="minorEastAsia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86" w:history="1">
            <w:r w:rsidRPr="001B7CCD">
              <w:rPr>
                <w:rStyle w:val="Hyperlink"/>
              </w:rPr>
              <w:t>4.3 Delegation by Scheme of Reservation &amp; Delegation (SoRD)</w:t>
            </w:r>
            <w:r w:rsidRPr="001B7CCD">
              <w:rPr>
                <w:webHidden/>
              </w:rPr>
              <w:tab/>
            </w:r>
            <w:r w:rsidRPr="001B7CCD">
              <w:rPr>
                <w:webHidden/>
              </w:rPr>
              <w:fldChar w:fldCharType="begin"/>
            </w:r>
            <w:r w:rsidRPr="001B7CCD">
              <w:rPr>
                <w:webHidden/>
              </w:rPr>
              <w:instrText xml:space="preserve"> PAGEREF _Toc163657086 \h </w:instrText>
            </w:r>
            <w:r w:rsidRPr="001B7CCD">
              <w:rPr>
                <w:webHidden/>
              </w:rPr>
            </w:r>
            <w:r w:rsidRPr="001B7CCD">
              <w:rPr>
                <w:webHidden/>
              </w:rPr>
              <w:fldChar w:fldCharType="separate"/>
            </w:r>
            <w:r w:rsidR="008922AF">
              <w:rPr>
                <w:webHidden/>
              </w:rPr>
              <w:t>5</w:t>
            </w:r>
            <w:r w:rsidRPr="001B7CCD">
              <w:rPr>
                <w:webHidden/>
              </w:rPr>
              <w:fldChar w:fldCharType="end"/>
            </w:r>
          </w:hyperlink>
        </w:p>
        <w:p w14:paraId="195BAF6C" w14:textId="34566CF2" w:rsidR="00607FEA" w:rsidRPr="001B7CCD" w:rsidRDefault="00607FEA">
          <w:pPr>
            <w:pStyle w:val="TOC2"/>
            <w:rPr>
              <w:rFonts w:eastAsiaTheme="minorEastAsia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87" w:history="1">
            <w:r w:rsidRPr="001B7CCD">
              <w:rPr>
                <w:rStyle w:val="Hyperlink"/>
              </w:rPr>
              <w:t>4.4 Accountability and reporting</w:t>
            </w:r>
            <w:r w:rsidRPr="001B7CCD">
              <w:rPr>
                <w:webHidden/>
              </w:rPr>
              <w:tab/>
            </w:r>
            <w:r w:rsidRPr="001B7CCD">
              <w:rPr>
                <w:webHidden/>
              </w:rPr>
              <w:fldChar w:fldCharType="begin"/>
            </w:r>
            <w:r w:rsidRPr="001B7CCD">
              <w:rPr>
                <w:webHidden/>
              </w:rPr>
              <w:instrText xml:space="preserve"> PAGEREF _Toc163657087 \h </w:instrText>
            </w:r>
            <w:r w:rsidRPr="001B7CCD">
              <w:rPr>
                <w:webHidden/>
              </w:rPr>
            </w:r>
            <w:r w:rsidRPr="001B7CCD">
              <w:rPr>
                <w:webHidden/>
              </w:rPr>
              <w:fldChar w:fldCharType="separate"/>
            </w:r>
            <w:r w:rsidR="008922AF">
              <w:rPr>
                <w:webHidden/>
              </w:rPr>
              <w:t>5</w:t>
            </w:r>
            <w:r w:rsidRPr="001B7CCD">
              <w:rPr>
                <w:webHidden/>
              </w:rPr>
              <w:fldChar w:fldCharType="end"/>
            </w:r>
          </w:hyperlink>
        </w:p>
        <w:p w14:paraId="6D6579D4" w14:textId="3DD24AB6" w:rsidR="00607FEA" w:rsidRPr="001B7CCD" w:rsidRDefault="00607FEA">
          <w:pPr>
            <w:pStyle w:val="TOC1"/>
            <w:tabs>
              <w:tab w:val="left" w:pos="480"/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88" w:history="1">
            <w:r w:rsidRPr="001B7CCD">
              <w:rPr>
                <w:rStyle w:val="Hyperlink"/>
                <w:rFonts w:ascii="Arial" w:hAnsi="Arial" w:cs="Arial"/>
                <w:noProof/>
              </w:rPr>
              <w:t>5.</w:t>
            </w:r>
            <w:r w:rsidRPr="001B7CCD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1B7CCD">
              <w:rPr>
                <w:rStyle w:val="Hyperlink"/>
                <w:rFonts w:ascii="Arial" w:hAnsi="Arial" w:cs="Arial"/>
                <w:noProof/>
              </w:rPr>
              <w:t>Subcommittee meetings</w:t>
            </w:r>
            <w:r w:rsidRPr="001B7CCD">
              <w:rPr>
                <w:rFonts w:ascii="Arial" w:hAnsi="Arial" w:cs="Arial"/>
                <w:noProof/>
                <w:webHidden/>
              </w:rPr>
              <w:tab/>
            </w:r>
            <w:r w:rsidRPr="001B7CC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B7CCD">
              <w:rPr>
                <w:rFonts w:ascii="Arial" w:hAnsi="Arial" w:cs="Arial"/>
                <w:noProof/>
                <w:webHidden/>
              </w:rPr>
              <w:instrText xml:space="preserve"> PAGEREF _Toc163657088 \h </w:instrText>
            </w:r>
            <w:r w:rsidRPr="001B7CCD">
              <w:rPr>
                <w:rFonts w:ascii="Arial" w:hAnsi="Arial" w:cs="Arial"/>
                <w:noProof/>
                <w:webHidden/>
              </w:rPr>
            </w:r>
            <w:r w:rsidRPr="001B7CC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22AF">
              <w:rPr>
                <w:rFonts w:ascii="Arial" w:hAnsi="Arial" w:cs="Arial"/>
                <w:noProof/>
                <w:webHidden/>
              </w:rPr>
              <w:t>6</w:t>
            </w:r>
            <w:r w:rsidRPr="001B7CC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FFB1AD" w14:textId="6D53AEBA" w:rsidR="00607FEA" w:rsidRPr="001B7CCD" w:rsidRDefault="00607FEA">
          <w:pPr>
            <w:pStyle w:val="TOC2"/>
            <w:rPr>
              <w:rFonts w:eastAsiaTheme="minorEastAsia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89" w:history="1">
            <w:r w:rsidRPr="001B7CCD">
              <w:rPr>
                <w:rStyle w:val="Hyperlink"/>
              </w:rPr>
              <w:t>5.1 Composition and quoracy</w:t>
            </w:r>
            <w:r w:rsidRPr="001B7CCD">
              <w:rPr>
                <w:webHidden/>
              </w:rPr>
              <w:tab/>
            </w:r>
            <w:r w:rsidRPr="001B7CCD">
              <w:rPr>
                <w:webHidden/>
              </w:rPr>
              <w:fldChar w:fldCharType="begin"/>
            </w:r>
            <w:r w:rsidRPr="001B7CCD">
              <w:rPr>
                <w:webHidden/>
              </w:rPr>
              <w:instrText xml:space="preserve"> PAGEREF _Toc163657089 \h </w:instrText>
            </w:r>
            <w:r w:rsidRPr="001B7CCD">
              <w:rPr>
                <w:webHidden/>
              </w:rPr>
            </w:r>
            <w:r w:rsidRPr="001B7CCD">
              <w:rPr>
                <w:webHidden/>
              </w:rPr>
              <w:fldChar w:fldCharType="separate"/>
            </w:r>
            <w:r w:rsidR="008922AF">
              <w:rPr>
                <w:webHidden/>
              </w:rPr>
              <w:t>6</w:t>
            </w:r>
            <w:r w:rsidRPr="001B7CCD">
              <w:rPr>
                <w:webHidden/>
              </w:rPr>
              <w:fldChar w:fldCharType="end"/>
            </w:r>
          </w:hyperlink>
        </w:p>
        <w:p w14:paraId="345016D6" w14:textId="7772BF43" w:rsidR="00607FEA" w:rsidRPr="001B7CCD" w:rsidRDefault="00607FEA">
          <w:pPr>
            <w:pStyle w:val="TOC2"/>
            <w:rPr>
              <w:rFonts w:eastAsiaTheme="minorEastAsia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90" w:history="1">
            <w:r w:rsidRPr="001B7CCD">
              <w:rPr>
                <w:rStyle w:val="Hyperlink"/>
              </w:rPr>
              <w:t>5.2 Frequency and formats</w:t>
            </w:r>
            <w:r w:rsidRPr="001B7CCD">
              <w:rPr>
                <w:webHidden/>
              </w:rPr>
              <w:tab/>
            </w:r>
            <w:r w:rsidRPr="001B7CCD">
              <w:rPr>
                <w:webHidden/>
              </w:rPr>
              <w:fldChar w:fldCharType="begin"/>
            </w:r>
            <w:r w:rsidRPr="001B7CCD">
              <w:rPr>
                <w:webHidden/>
              </w:rPr>
              <w:instrText xml:space="preserve"> PAGEREF _Toc163657090 \h </w:instrText>
            </w:r>
            <w:r w:rsidRPr="001B7CCD">
              <w:rPr>
                <w:webHidden/>
              </w:rPr>
            </w:r>
            <w:r w:rsidRPr="001B7CCD">
              <w:rPr>
                <w:webHidden/>
              </w:rPr>
              <w:fldChar w:fldCharType="separate"/>
            </w:r>
            <w:r w:rsidR="008922AF">
              <w:rPr>
                <w:webHidden/>
              </w:rPr>
              <w:t>8</w:t>
            </w:r>
            <w:r w:rsidRPr="001B7CCD">
              <w:rPr>
                <w:webHidden/>
              </w:rPr>
              <w:fldChar w:fldCharType="end"/>
            </w:r>
          </w:hyperlink>
        </w:p>
        <w:p w14:paraId="7F88D32D" w14:textId="6078CF69" w:rsidR="00607FEA" w:rsidRPr="001B7CCD" w:rsidRDefault="00607FEA">
          <w:pPr>
            <w:pStyle w:val="TOC2"/>
            <w:rPr>
              <w:rFonts w:eastAsiaTheme="minorEastAsia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91" w:history="1">
            <w:r w:rsidRPr="001B7CCD">
              <w:rPr>
                <w:rStyle w:val="Hyperlink"/>
              </w:rPr>
              <w:t>5.3 Procedures</w:t>
            </w:r>
            <w:r w:rsidRPr="001B7CCD">
              <w:rPr>
                <w:webHidden/>
              </w:rPr>
              <w:tab/>
            </w:r>
            <w:r w:rsidRPr="001B7CCD">
              <w:rPr>
                <w:webHidden/>
              </w:rPr>
              <w:fldChar w:fldCharType="begin"/>
            </w:r>
            <w:r w:rsidRPr="001B7CCD">
              <w:rPr>
                <w:webHidden/>
              </w:rPr>
              <w:instrText xml:space="preserve"> PAGEREF _Toc163657091 \h </w:instrText>
            </w:r>
            <w:r w:rsidRPr="001B7CCD">
              <w:rPr>
                <w:webHidden/>
              </w:rPr>
            </w:r>
            <w:r w:rsidRPr="001B7CCD">
              <w:rPr>
                <w:webHidden/>
              </w:rPr>
              <w:fldChar w:fldCharType="separate"/>
            </w:r>
            <w:r w:rsidR="008922AF">
              <w:rPr>
                <w:webHidden/>
              </w:rPr>
              <w:t>9</w:t>
            </w:r>
            <w:r w:rsidRPr="001B7CCD">
              <w:rPr>
                <w:webHidden/>
              </w:rPr>
              <w:fldChar w:fldCharType="end"/>
            </w:r>
          </w:hyperlink>
        </w:p>
        <w:p w14:paraId="3F1A5178" w14:textId="142C540A" w:rsidR="00607FEA" w:rsidRPr="001B7CCD" w:rsidRDefault="00607FEA">
          <w:pPr>
            <w:pStyle w:val="TOC1"/>
            <w:tabs>
              <w:tab w:val="left" w:pos="480"/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92" w:history="1">
            <w:r w:rsidRPr="001B7CCD">
              <w:rPr>
                <w:rStyle w:val="Hyperlink"/>
                <w:rFonts w:ascii="Arial" w:hAnsi="Arial" w:cs="Arial"/>
                <w:noProof/>
              </w:rPr>
              <w:t>6.</w:t>
            </w:r>
            <w:r w:rsidRPr="001B7CCD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:sz w:val="22"/>
                <w:szCs w:val="22"/>
                <w:lang w:eastAsia="en-GB"/>
                <w14:ligatures w14:val="standardContextual"/>
              </w:rPr>
              <w:tab/>
            </w:r>
            <w:r w:rsidRPr="001B7CCD">
              <w:rPr>
                <w:rStyle w:val="Hyperlink"/>
                <w:rFonts w:ascii="Arial" w:hAnsi="Arial" w:cs="Arial"/>
                <w:noProof/>
              </w:rPr>
              <w:t>Secretariat and administration</w:t>
            </w:r>
            <w:r w:rsidRPr="001B7CCD">
              <w:rPr>
                <w:rFonts w:ascii="Arial" w:hAnsi="Arial" w:cs="Arial"/>
                <w:noProof/>
                <w:webHidden/>
              </w:rPr>
              <w:tab/>
            </w:r>
            <w:r w:rsidRPr="001B7CC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B7CCD">
              <w:rPr>
                <w:rFonts w:ascii="Arial" w:hAnsi="Arial" w:cs="Arial"/>
                <w:noProof/>
                <w:webHidden/>
              </w:rPr>
              <w:instrText xml:space="preserve"> PAGEREF _Toc163657092 \h </w:instrText>
            </w:r>
            <w:r w:rsidRPr="001B7CCD">
              <w:rPr>
                <w:rFonts w:ascii="Arial" w:hAnsi="Arial" w:cs="Arial"/>
                <w:noProof/>
                <w:webHidden/>
              </w:rPr>
            </w:r>
            <w:r w:rsidRPr="001B7CC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22AF">
              <w:rPr>
                <w:rFonts w:ascii="Arial" w:hAnsi="Arial" w:cs="Arial"/>
                <w:noProof/>
                <w:webHidden/>
              </w:rPr>
              <w:t>10</w:t>
            </w:r>
            <w:r w:rsidRPr="001B7CC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B446A0" w14:textId="49B146EB" w:rsidR="00607FEA" w:rsidRPr="001B7CCD" w:rsidRDefault="00607FEA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93" w:history="1">
            <w:r w:rsidRPr="001B7CCD">
              <w:rPr>
                <w:rStyle w:val="Hyperlink"/>
                <w:rFonts w:ascii="Arial" w:hAnsi="Arial" w:cs="Arial"/>
                <w:noProof/>
              </w:rPr>
              <w:t>Appendix 1: Approval History</w:t>
            </w:r>
            <w:r w:rsidRPr="001B7CCD">
              <w:rPr>
                <w:rFonts w:ascii="Arial" w:hAnsi="Arial" w:cs="Arial"/>
                <w:noProof/>
                <w:webHidden/>
              </w:rPr>
              <w:tab/>
            </w:r>
            <w:r w:rsidRPr="001B7CC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B7CCD">
              <w:rPr>
                <w:rFonts w:ascii="Arial" w:hAnsi="Arial" w:cs="Arial"/>
                <w:noProof/>
                <w:webHidden/>
              </w:rPr>
              <w:instrText xml:space="preserve"> PAGEREF _Toc163657093 \h </w:instrText>
            </w:r>
            <w:r w:rsidRPr="001B7CCD">
              <w:rPr>
                <w:rFonts w:ascii="Arial" w:hAnsi="Arial" w:cs="Arial"/>
                <w:noProof/>
                <w:webHidden/>
              </w:rPr>
            </w:r>
            <w:r w:rsidRPr="001B7CC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22AF">
              <w:rPr>
                <w:rFonts w:ascii="Arial" w:hAnsi="Arial" w:cs="Arial"/>
                <w:noProof/>
                <w:webHidden/>
              </w:rPr>
              <w:t>10</w:t>
            </w:r>
            <w:r w:rsidRPr="001B7CC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0666C0" w14:textId="1598A4A9" w:rsidR="00607FEA" w:rsidRPr="001B7CCD" w:rsidRDefault="00607FEA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63657094" w:history="1">
            <w:r w:rsidRPr="001B7CCD">
              <w:rPr>
                <w:rStyle w:val="Hyperlink"/>
                <w:rFonts w:ascii="Arial" w:hAnsi="Arial" w:cs="Arial"/>
                <w:noProof/>
              </w:rPr>
              <w:t>Appendix 2: Review History</w:t>
            </w:r>
            <w:r w:rsidRPr="001B7CCD">
              <w:rPr>
                <w:rFonts w:ascii="Arial" w:hAnsi="Arial" w:cs="Arial"/>
                <w:noProof/>
                <w:webHidden/>
              </w:rPr>
              <w:tab/>
            </w:r>
            <w:r w:rsidRPr="001B7CC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B7CCD">
              <w:rPr>
                <w:rFonts w:ascii="Arial" w:hAnsi="Arial" w:cs="Arial"/>
                <w:noProof/>
                <w:webHidden/>
              </w:rPr>
              <w:instrText xml:space="preserve"> PAGEREF _Toc163657094 \h </w:instrText>
            </w:r>
            <w:r w:rsidRPr="001B7CCD">
              <w:rPr>
                <w:rFonts w:ascii="Arial" w:hAnsi="Arial" w:cs="Arial"/>
                <w:noProof/>
                <w:webHidden/>
              </w:rPr>
            </w:r>
            <w:r w:rsidRPr="001B7CC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22AF">
              <w:rPr>
                <w:rFonts w:ascii="Arial" w:hAnsi="Arial" w:cs="Arial"/>
                <w:noProof/>
                <w:webHidden/>
              </w:rPr>
              <w:t>10</w:t>
            </w:r>
            <w:r w:rsidRPr="001B7CC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69C943" w14:textId="7AA0D30D" w:rsidR="00E06F93" w:rsidRPr="001B7CCD" w:rsidRDefault="00A73D41" w:rsidP="00E06F93">
          <w:r w:rsidRPr="001B7CCD">
            <w:rPr>
              <w:caps/>
              <w:sz w:val="20"/>
              <w:szCs w:val="20"/>
            </w:rPr>
            <w:fldChar w:fldCharType="end"/>
          </w:r>
        </w:p>
      </w:sdtContent>
    </w:sdt>
    <w:p w14:paraId="125AE6A2" w14:textId="77777777" w:rsidR="00E06F93" w:rsidRDefault="00E06F93" w:rsidP="00E06F93"/>
    <w:p w14:paraId="20E7129B" w14:textId="3726FD23" w:rsidR="00E06F93" w:rsidRDefault="00E06F93" w:rsidP="00E06F93">
      <w:pPr>
        <w:rPr>
          <w:b/>
          <w:bCs/>
        </w:rPr>
      </w:pPr>
      <w:r>
        <w:rPr>
          <w:b/>
          <w:bCs/>
        </w:rPr>
        <w:br w:type="page"/>
      </w:r>
    </w:p>
    <w:p w14:paraId="5BC194B5" w14:textId="33FC63E2" w:rsidR="00E06F93" w:rsidRPr="00D70E4C" w:rsidRDefault="00E06F93" w:rsidP="00A83279">
      <w:pPr>
        <w:pStyle w:val="Heading1"/>
        <w:keepNext w:val="0"/>
        <w:keepLines w:val="0"/>
        <w:widowControl w:val="0"/>
        <w:numPr>
          <w:ilvl w:val="0"/>
          <w:numId w:val="48"/>
        </w:numPr>
        <w:spacing w:before="0" w:after="120"/>
        <w:ind w:left="284"/>
        <w:jc w:val="both"/>
      </w:pPr>
      <w:bookmarkStart w:id="0" w:name="_Toc120720199"/>
      <w:bookmarkStart w:id="1" w:name="_Toc123192556"/>
      <w:bookmarkStart w:id="2" w:name="_Toc163657081"/>
      <w:r w:rsidRPr="00D70E4C">
        <w:lastRenderedPageBreak/>
        <w:t>Establishment</w:t>
      </w:r>
      <w:bookmarkEnd w:id="0"/>
      <w:bookmarkEnd w:id="1"/>
      <w:bookmarkEnd w:id="2"/>
    </w:p>
    <w:p w14:paraId="2C72B9C6" w14:textId="4BE6CB25" w:rsidR="00E06F93" w:rsidRPr="002D270B" w:rsidRDefault="00E06F93" w:rsidP="00F963DF">
      <w:pPr>
        <w:pStyle w:val="Indentedparagraph"/>
        <w:ind w:left="0"/>
        <w:jc w:val="both"/>
        <w:rPr>
          <w:rFonts w:cs="Arial"/>
        </w:rPr>
      </w:pPr>
      <w:r w:rsidRPr="002D270B">
        <w:rPr>
          <w:rFonts w:cs="Arial"/>
        </w:rPr>
        <w:t xml:space="preserve">The </w:t>
      </w:r>
      <w:r w:rsidR="005F0F2B">
        <w:rPr>
          <w:rFonts w:cs="Arial"/>
        </w:rPr>
        <w:t>People &amp; Organisational Development (OD)</w:t>
      </w:r>
      <w:r>
        <w:rPr>
          <w:rFonts w:cs="Arial"/>
        </w:rPr>
        <w:t xml:space="preserve"> </w:t>
      </w:r>
      <w:r w:rsidR="00963D11">
        <w:rPr>
          <w:rFonts w:cs="Arial"/>
        </w:rPr>
        <w:t>S</w:t>
      </w:r>
      <w:r w:rsidR="005F0F2B">
        <w:rPr>
          <w:rFonts w:cs="Arial"/>
        </w:rPr>
        <w:t>ub</w:t>
      </w:r>
      <w:r w:rsidR="00C95C38">
        <w:rPr>
          <w:rFonts w:cs="Arial"/>
        </w:rPr>
        <w:t>c</w:t>
      </w:r>
      <w:r w:rsidR="005F0F2B">
        <w:rPr>
          <w:rFonts w:cs="Arial"/>
        </w:rPr>
        <w:t>o</w:t>
      </w:r>
      <w:r w:rsidR="005F0F2B" w:rsidRPr="002D270B">
        <w:rPr>
          <w:rFonts w:cs="Arial"/>
        </w:rPr>
        <w:t>mmittee</w:t>
      </w:r>
      <w:r w:rsidRPr="002D270B">
        <w:rPr>
          <w:rFonts w:cs="Arial"/>
        </w:rPr>
        <w:t xml:space="preserve"> is </w:t>
      </w:r>
      <w:r w:rsidR="00412089">
        <w:rPr>
          <w:rFonts w:cs="Arial"/>
        </w:rPr>
        <w:t xml:space="preserve">a </w:t>
      </w:r>
      <w:r w:rsidR="008A1FB1">
        <w:rPr>
          <w:rFonts w:cs="Arial"/>
        </w:rPr>
        <w:t>S</w:t>
      </w:r>
      <w:r>
        <w:rPr>
          <w:rFonts w:cs="Arial"/>
        </w:rPr>
        <w:t>ub</w:t>
      </w:r>
      <w:r w:rsidR="00C95C38">
        <w:rPr>
          <w:rFonts w:cs="Arial"/>
        </w:rPr>
        <w:t>c</w:t>
      </w:r>
      <w:r w:rsidRPr="002D270B">
        <w:rPr>
          <w:rFonts w:cs="Arial"/>
        </w:rPr>
        <w:t xml:space="preserve">ommittee established by </w:t>
      </w:r>
      <w:r>
        <w:rPr>
          <w:rFonts w:cs="Arial"/>
        </w:rPr>
        <w:t xml:space="preserve">the </w:t>
      </w:r>
      <w:r w:rsidR="005F0F2B">
        <w:rPr>
          <w:rFonts w:cs="Arial"/>
        </w:rPr>
        <w:t>Executive</w:t>
      </w:r>
      <w:r>
        <w:rPr>
          <w:rFonts w:cs="Arial"/>
        </w:rPr>
        <w:t xml:space="preserve"> </w:t>
      </w:r>
      <w:r w:rsidR="00963D11">
        <w:rPr>
          <w:rFonts w:cs="Arial"/>
        </w:rPr>
        <w:t>C</w:t>
      </w:r>
      <w:r>
        <w:rPr>
          <w:rFonts w:cs="Arial"/>
        </w:rPr>
        <w:t>ommittee</w:t>
      </w:r>
      <w:r w:rsidRPr="002D270B">
        <w:rPr>
          <w:rFonts w:cs="Arial"/>
        </w:rPr>
        <w:t xml:space="preserve">, in accordance with the </w:t>
      </w:r>
      <w:r>
        <w:rPr>
          <w:rFonts w:cs="Arial"/>
        </w:rPr>
        <w:t xml:space="preserve">NHS North East and North Cumbria's (hereafter referred to as the ICB) </w:t>
      </w:r>
      <w:r w:rsidRPr="002D270B">
        <w:rPr>
          <w:rFonts w:cs="Arial"/>
        </w:rPr>
        <w:t>Scheme of Reservation and Delegation (</w:t>
      </w:r>
      <w:proofErr w:type="spellStart"/>
      <w:r w:rsidRPr="002D270B">
        <w:rPr>
          <w:rFonts w:cs="Arial"/>
        </w:rPr>
        <w:t>SoRD</w:t>
      </w:r>
      <w:proofErr w:type="spellEnd"/>
      <w:r w:rsidRPr="002D270B">
        <w:rPr>
          <w:rFonts w:cs="Arial"/>
        </w:rPr>
        <w:t>) and Constitution.</w:t>
      </w:r>
    </w:p>
    <w:p w14:paraId="484DA87C" w14:textId="07CBB6F6" w:rsidR="00E06F93" w:rsidRPr="0089084B" w:rsidRDefault="00E06F93" w:rsidP="00A83279">
      <w:pPr>
        <w:pStyle w:val="Heading1"/>
        <w:numPr>
          <w:ilvl w:val="0"/>
          <w:numId w:val="48"/>
        </w:numPr>
        <w:ind w:left="284"/>
      </w:pPr>
      <w:bookmarkStart w:id="3" w:name="_Toc120720200"/>
      <w:bookmarkStart w:id="4" w:name="_Toc123192557"/>
      <w:bookmarkStart w:id="5" w:name="_Toc163657082"/>
      <w:r w:rsidRPr="0089084B">
        <w:t>Terms of reference:</w:t>
      </w:r>
      <w:bookmarkEnd w:id="3"/>
      <w:bookmarkEnd w:id="4"/>
      <w:bookmarkEnd w:id="5"/>
      <w:r w:rsidRPr="0089084B">
        <w:t xml:space="preserve"> </w:t>
      </w:r>
    </w:p>
    <w:p w14:paraId="664588CB" w14:textId="77777777" w:rsidR="00E06F93" w:rsidRPr="002D270B" w:rsidRDefault="00E06F93" w:rsidP="00F963DF">
      <w:pPr>
        <w:pStyle w:val="Indentedparagraph"/>
        <w:jc w:val="both"/>
        <w:rPr>
          <w:rFonts w:cs="Arial"/>
        </w:rPr>
      </w:pPr>
      <w:r w:rsidRPr="002D270B">
        <w:rPr>
          <w:rFonts w:cs="Arial"/>
          <w:b/>
          <w:bCs/>
        </w:rPr>
        <w:t>Definition of terms:</w:t>
      </w:r>
      <w:r w:rsidRPr="002D270B">
        <w:rPr>
          <w:rFonts w:cs="Arial"/>
        </w:rPr>
        <w:t xml:space="preserve"> The </w:t>
      </w:r>
      <w:r>
        <w:rPr>
          <w:rFonts w:cs="Arial"/>
        </w:rPr>
        <w:t>terms of reference</w:t>
      </w:r>
      <w:r w:rsidRPr="002D270B">
        <w:rPr>
          <w:rFonts w:cs="Arial"/>
        </w:rPr>
        <w:t xml:space="preserve"> </w:t>
      </w:r>
      <w:r>
        <w:rPr>
          <w:rFonts w:cs="Arial"/>
        </w:rPr>
        <w:t>are</w:t>
      </w:r>
      <w:r w:rsidRPr="002D270B">
        <w:rPr>
          <w:rFonts w:cs="Arial"/>
        </w:rPr>
        <w:t xml:space="preserve"> defined by the </w:t>
      </w:r>
      <w:r>
        <w:rPr>
          <w:rFonts w:cs="Arial"/>
        </w:rPr>
        <w:t>ICB</w:t>
      </w:r>
      <w:r w:rsidRPr="002D270B">
        <w:rPr>
          <w:rFonts w:cs="Arial"/>
        </w:rPr>
        <w:t>.</w:t>
      </w:r>
    </w:p>
    <w:p w14:paraId="149DB53B" w14:textId="726C6D36" w:rsidR="00E06F93" w:rsidRPr="002D270B" w:rsidRDefault="00E06F93" w:rsidP="00F963DF">
      <w:pPr>
        <w:pStyle w:val="Indentedparagraph"/>
        <w:jc w:val="both"/>
        <w:rPr>
          <w:rFonts w:cs="Arial"/>
        </w:rPr>
      </w:pPr>
      <w:r w:rsidRPr="002D270B">
        <w:rPr>
          <w:rFonts w:cs="Arial"/>
          <w:b/>
          <w:bCs/>
        </w:rPr>
        <w:t xml:space="preserve">Amendment: </w:t>
      </w:r>
      <w:r w:rsidRPr="002D270B">
        <w:rPr>
          <w:rFonts w:cs="Arial"/>
        </w:rPr>
        <w:t xml:space="preserve"> The </w:t>
      </w:r>
      <w:r>
        <w:rPr>
          <w:rFonts w:cs="Arial"/>
        </w:rPr>
        <w:t>terms of reference</w:t>
      </w:r>
      <w:r w:rsidRPr="002D270B">
        <w:rPr>
          <w:rFonts w:cs="Arial"/>
        </w:rPr>
        <w:t xml:space="preserve"> may be amended in accordance with the provisions </w:t>
      </w:r>
      <w:r>
        <w:rPr>
          <w:rFonts w:cs="Arial"/>
        </w:rPr>
        <w:t>set out in this SOP (Establishing Sub</w:t>
      </w:r>
      <w:r w:rsidR="00F963DF">
        <w:rPr>
          <w:rFonts w:cs="Arial"/>
        </w:rPr>
        <w:t>c</w:t>
      </w:r>
      <w:r>
        <w:rPr>
          <w:rFonts w:cs="Arial"/>
        </w:rPr>
        <w:t>ommittees)</w:t>
      </w:r>
      <w:r w:rsidRPr="002D270B">
        <w:rPr>
          <w:rFonts w:cs="Arial"/>
        </w:rPr>
        <w:t>.</w:t>
      </w:r>
    </w:p>
    <w:p w14:paraId="013E57FA" w14:textId="77777777" w:rsidR="00E06F93" w:rsidRDefault="00E06F93" w:rsidP="00F963DF">
      <w:pPr>
        <w:pStyle w:val="Indentedparagraph"/>
        <w:jc w:val="both"/>
        <w:rPr>
          <w:rFonts w:cs="Arial"/>
        </w:rPr>
      </w:pPr>
      <w:r w:rsidRPr="002D270B">
        <w:rPr>
          <w:rFonts w:cs="Arial"/>
          <w:b/>
          <w:bCs/>
        </w:rPr>
        <w:t>Publication:</w:t>
      </w:r>
      <w:r w:rsidRPr="002D270B">
        <w:rPr>
          <w:rFonts w:cs="Arial"/>
        </w:rPr>
        <w:t xml:space="preserve"> The </w:t>
      </w:r>
      <w:r>
        <w:rPr>
          <w:rFonts w:cs="Arial"/>
        </w:rPr>
        <w:t>terms of reference</w:t>
      </w:r>
      <w:r w:rsidRPr="002D270B">
        <w:rPr>
          <w:rFonts w:cs="Arial"/>
        </w:rPr>
        <w:t xml:space="preserve"> </w:t>
      </w:r>
      <w:r>
        <w:rPr>
          <w:rFonts w:cs="Arial"/>
        </w:rPr>
        <w:t xml:space="preserve">will be </w:t>
      </w:r>
      <w:r w:rsidRPr="002D270B">
        <w:rPr>
          <w:rFonts w:cs="Arial"/>
        </w:rPr>
        <w:t xml:space="preserve">published </w:t>
      </w:r>
      <w:r>
        <w:rPr>
          <w:rFonts w:cs="Arial"/>
        </w:rPr>
        <w:t xml:space="preserve">in the ICB's Governance Handbook </w:t>
      </w:r>
      <w:r w:rsidRPr="002D270B">
        <w:rPr>
          <w:rFonts w:cs="Arial"/>
        </w:rPr>
        <w:t xml:space="preserve">which is accessible </w:t>
      </w:r>
      <w:r>
        <w:rPr>
          <w:rFonts w:cs="Arial"/>
        </w:rPr>
        <w:t xml:space="preserve">here: </w:t>
      </w:r>
      <w:hyperlink r:id="rId13" w:history="1">
        <w:r w:rsidRPr="00B63027">
          <w:rPr>
            <w:rStyle w:val="Hyperlink"/>
            <w:rFonts w:cs="Arial"/>
          </w:rPr>
          <w:t>https://northeastnorthcumbria.nhs.uk/about-us/corporate-information/governance/</w:t>
        </w:r>
      </w:hyperlink>
    </w:p>
    <w:p w14:paraId="17BC3B43" w14:textId="26E5CDF3" w:rsidR="00E06F93" w:rsidRPr="0089084B" w:rsidRDefault="00E06F93" w:rsidP="00A83279">
      <w:pPr>
        <w:pStyle w:val="Heading1"/>
        <w:numPr>
          <w:ilvl w:val="0"/>
          <w:numId w:val="48"/>
        </w:numPr>
        <w:ind w:left="284"/>
      </w:pPr>
      <w:bookmarkStart w:id="6" w:name="_Toc120720201"/>
      <w:bookmarkStart w:id="7" w:name="_Toc123192558"/>
      <w:bookmarkStart w:id="8" w:name="_Toc163657083"/>
      <w:r w:rsidRPr="0089084B">
        <w:t>Purpose</w:t>
      </w:r>
      <w:bookmarkStart w:id="9" w:name="_Toc120720202"/>
      <w:bookmarkEnd w:id="6"/>
      <w:bookmarkEnd w:id="7"/>
      <w:bookmarkEnd w:id="8"/>
    </w:p>
    <w:p w14:paraId="7762E97E" w14:textId="48BE89DC" w:rsidR="005F0F2B" w:rsidRDefault="005F0F2B" w:rsidP="00F963D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F0F2B">
        <w:rPr>
          <w:rFonts w:ascii="Arial" w:hAnsi="Arial" w:cs="Arial"/>
          <w:sz w:val="22"/>
          <w:szCs w:val="22"/>
        </w:rPr>
        <w:t xml:space="preserve">The People </w:t>
      </w:r>
      <w:r>
        <w:rPr>
          <w:rFonts w:ascii="Arial" w:hAnsi="Arial" w:cs="Arial"/>
          <w:sz w:val="22"/>
          <w:szCs w:val="22"/>
        </w:rPr>
        <w:t>&amp;</w:t>
      </w:r>
      <w:r w:rsidRPr="005F0F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</w:t>
      </w:r>
      <w:r w:rsidRPr="005F0F2B">
        <w:rPr>
          <w:rFonts w:ascii="Arial" w:hAnsi="Arial" w:cs="Arial"/>
          <w:sz w:val="22"/>
          <w:szCs w:val="22"/>
        </w:rPr>
        <w:t xml:space="preserve"> Sub</w:t>
      </w:r>
      <w:r w:rsidR="00C95C38">
        <w:rPr>
          <w:rFonts w:ascii="Arial" w:hAnsi="Arial" w:cs="Arial"/>
          <w:sz w:val="22"/>
          <w:szCs w:val="22"/>
        </w:rPr>
        <w:t>c</w:t>
      </w:r>
      <w:r w:rsidRPr="005F0F2B">
        <w:rPr>
          <w:rFonts w:ascii="Arial" w:hAnsi="Arial" w:cs="Arial"/>
          <w:sz w:val="22"/>
          <w:szCs w:val="22"/>
        </w:rPr>
        <w:t>ommittee has been established to provide assurance to the Executive Committee that adequate and appropriate governance structures, processes and controls are in place in respect of the ICB</w:t>
      </w:r>
      <w:r w:rsidR="007C63C7">
        <w:rPr>
          <w:rFonts w:ascii="Arial" w:hAnsi="Arial" w:cs="Arial"/>
          <w:sz w:val="22"/>
          <w:szCs w:val="22"/>
        </w:rPr>
        <w:t xml:space="preserve"> workforce</w:t>
      </w:r>
      <w:r w:rsidRPr="005F0F2B">
        <w:rPr>
          <w:rFonts w:ascii="Arial" w:hAnsi="Arial" w:cs="Arial"/>
          <w:sz w:val="22"/>
          <w:szCs w:val="22"/>
        </w:rPr>
        <w:t xml:space="preserve"> and organisation development.  </w:t>
      </w:r>
    </w:p>
    <w:p w14:paraId="2C5022E9" w14:textId="77777777" w:rsidR="005F0F2B" w:rsidRPr="005F0F2B" w:rsidRDefault="005F0F2B" w:rsidP="00F963DF">
      <w:pPr>
        <w:pStyle w:val="NormalWeb"/>
        <w:ind w:left="567"/>
        <w:jc w:val="both"/>
        <w:rPr>
          <w:rFonts w:ascii="Arial" w:hAnsi="Arial" w:cs="Arial"/>
          <w:sz w:val="22"/>
          <w:szCs w:val="22"/>
        </w:rPr>
      </w:pPr>
    </w:p>
    <w:p w14:paraId="28A48F72" w14:textId="65D30CCD" w:rsidR="005F0F2B" w:rsidRPr="005F0F2B" w:rsidRDefault="007C63C7" w:rsidP="00F963DF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1FB1" w:rsidRPr="005F0F2B">
        <w:rPr>
          <w:rFonts w:ascii="Arial" w:hAnsi="Arial" w:cs="Arial"/>
          <w:sz w:val="22"/>
          <w:szCs w:val="22"/>
        </w:rPr>
        <w:t>Sub</w:t>
      </w:r>
      <w:r w:rsidR="00C95C38">
        <w:rPr>
          <w:rFonts w:ascii="Arial" w:hAnsi="Arial" w:cs="Arial"/>
          <w:sz w:val="22"/>
          <w:szCs w:val="22"/>
        </w:rPr>
        <w:t>c</w:t>
      </w:r>
      <w:r w:rsidR="008A1FB1" w:rsidRPr="005F0F2B">
        <w:rPr>
          <w:rFonts w:ascii="Arial" w:hAnsi="Arial" w:cs="Arial"/>
          <w:sz w:val="22"/>
          <w:szCs w:val="22"/>
        </w:rPr>
        <w:t>ommittee</w:t>
      </w:r>
      <w:r w:rsidRPr="005F0F2B">
        <w:rPr>
          <w:rFonts w:ascii="Arial" w:hAnsi="Arial" w:cs="Arial"/>
          <w:sz w:val="22"/>
          <w:szCs w:val="22"/>
        </w:rPr>
        <w:t xml:space="preserve"> </w:t>
      </w:r>
      <w:r w:rsidR="005F0F2B" w:rsidRPr="005F0F2B">
        <w:rPr>
          <w:rFonts w:ascii="Arial" w:hAnsi="Arial" w:cs="Arial"/>
          <w:sz w:val="22"/>
          <w:szCs w:val="22"/>
        </w:rPr>
        <w:t>is responsible for ensuring that effective People &amp; OD programmes are developed</w:t>
      </w:r>
      <w:r w:rsidR="004C52BF">
        <w:rPr>
          <w:rFonts w:ascii="Arial" w:hAnsi="Arial" w:cs="Arial"/>
          <w:sz w:val="22"/>
          <w:szCs w:val="22"/>
        </w:rPr>
        <w:t xml:space="preserve"> </w:t>
      </w:r>
      <w:r w:rsidR="005F0F2B" w:rsidRPr="005F0F2B">
        <w:rPr>
          <w:rFonts w:ascii="Arial" w:hAnsi="Arial" w:cs="Arial"/>
          <w:sz w:val="22"/>
          <w:szCs w:val="22"/>
        </w:rPr>
        <w:t>and deliver continuous improvement in organisational effectiveness</w:t>
      </w:r>
      <w:r>
        <w:rPr>
          <w:rFonts w:ascii="Arial" w:hAnsi="Arial" w:cs="Arial"/>
          <w:sz w:val="22"/>
          <w:szCs w:val="22"/>
        </w:rPr>
        <w:t>,</w:t>
      </w:r>
      <w:r w:rsidR="005F0F2B" w:rsidRPr="005F0F2B">
        <w:rPr>
          <w:rFonts w:ascii="Arial" w:hAnsi="Arial" w:cs="Arial"/>
          <w:sz w:val="22"/>
          <w:szCs w:val="22"/>
        </w:rPr>
        <w:t xml:space="preserve"> within the context of system transformation and organisational change.</w:t>
      </w:r>
    </w:p>
    <w:p w14:paraId="016C497A" w14:textId="77777777" w:rsidR="005F0F2B" w:rsidRDefault="005F0F2B" w:rsidP="00F963DF">
      <w:pPr>
        <w:pStyle w:val="NormalWeb"/>
        <w:ind w:left="567"/>
        <w:jc w:val="both"/>
        <w:rPr>
          <w:rFonts w:ascii="Arial" w:hAnsi="Arial" w:cs="Arial"/>
          <w:sz w:val="22"/>
          <w:szCs w:val="22"/>
        </w:rPr>
      </w:pPr>
    </w:p>
    <w:p w14:paraId="62E7F305" w14:textId="2636ADA2" w:rsidR="005F0F2B" w:rsidRPr="00A83279" w:rsidRDefault="005F0F2B" w:rsidP="00A832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F0F2B">
        <w:rPr>
          <w:rFonts w:ascii="Arial" w:hAnsi="Arial" w:cs="Arial"/>
          <w:sz w:val="22"/>
          <w:szCs w:val="22"/>
        </w:rPr>
        <w:t xml:space="preserve">The </w:t>
      </w:r>
      <w:r w:rsidR="00C95C38">
        <w:rPr>
          <w:rFonts w:ascii="Arial" w:hAnsi="Arial" w:cs="Arial"/>
          <w:sz w:val="22"/>
          <w:szCs w:val="22"/>
        </w:rPr>
        <w:t>Subcommittee</w:t>
      </w:r>
      <w:r w:rsidR="007C63C7">
        <w:rPr>
          <w:rFonts w:ascii="Arial" w:hAnsi="Arial" w:cs="Arial"/>
          <w:sz w:val="22"/>
          <w:szCs w:val="22"/>
        </w:rPr>
        <w:t xml:space="preserve"> </w:t>
      </w:r>
      <w:r w:rsidRPr="005F0F2B">
        <w:rPr>
          <w:rFonts w:ascii="Arial" w:hAnsi="Arial" w:cs="Arial"/>
          <w:sz w:val="22"/>
          <w:szCs w:val="22"/>
        </w:rPr>
        <w:t xml:space="preserve">is internally facing and has primary responsibility for receiving assurance regarding all aspects of strategic workforce and organisation development relating to ICB staff in support of getting the best outcomes. </w:t>
      </w:r>
    </w:p>
    <w:p w14:paraId="2B3A458B" w14:textId="20068383" w:rsidR="00E06F93" w:rsidRPr="00A83279" w:rsidRDefault="00E06F93" w:rsidP="00A83279">
      <w:pPr>
        <w:pStyle w:val="Heading1"/>
        <w:numPr>
          <w:ilvl w:val="0"/>
          <w:numId w:val="48"/>
        </w:numPr>
        <w:ind w:left="284"/>
      </w:pPr>
      <w:bookmarkStart w:id="10" w:name="_Toc123192559"/>
      <w:bookmarkStart w:id="11" w:name="_Toc163657084"/>
      <w:r w:rsidRPr="00A83279">
        <w:t>Roles and responsibilities</w:t>
      </w:r>
      <w:bookmarkEnd w:id="9"/>
      <w:bookmarkEnd w:id="10"/>
      <w:bookmarkEnd w:id="11"/>
    </w:p>
    <w:p w14:paraId="2E64A093" w14:textId="49782D77" w:rsidR="008A1FB1" w:rsidRPr="007846B5" w:rsidRDefault="008A1FB1" w:rsidP="008A1FB1">
      <w:pPr>
        <w:spacing w:before="120" w:after="120"/>
        <w:rPr>
          <w:rFonts w:eastAsia="Calibri"/>
          <w:color w:val="000000" w:themeColor="text1"/>
          <w:sz w:val="22"/>
          <w:szCs w:val="22"/>
          <w:lang w:eastAsia="en-GB"/>
        </w:rPr>
      </w:pPr>
      <w:r w:rsidRPr="007846B5">
        <w:rPr>
          <w:rFonts w:eastAsia="Calibri"/>
          <w:color w:val="000000" w:themeColor="text1"/>
          <w:sz w:val="22"/>
          <w:szCs w:val="22"/>
          <w:lang w:eastAsia="en-GB"/>
        </w:rPr>
        <w:t xml:space="preserve">This section describes the </w:t>
      </w:r>
      <w:r w:rsidR="00C95C38">
        <w:rPr>
          <w:rFonts w:eastAsia="Calibri"/>
          <w:color w:val="000000" w:themeColor="text1"/>
          <w:sz w:val="22"/>
          <w:szCs w:val="22"/>
          <w:lang w:eastAsia="en-GB"/>
        </w:rPr>
        <w:t>Subcommittee</w:t>
      </w:r>
      <w:r w:rsidRPr="007846B5">
        <w:rPr>
          <w:rFonts w:eastAsia="Calibri"/>
          <w:color w:val="000000" w:themeColor="text1"/>
          <w:sz w:val="22"/>
          <w:szCs w:val="22"/>
          <w:lang w:eastAsia="en-GB"/>
        </w:rPr>
        <w:t>’s duties, authority, accountability and reporting.</w:t>
      </w:r>
    </w:p>
    <w:p w14:paraId="038F600E" w14:textId="0C02D995" w:rsidR="008A1FB1" w:rsidRPr="00607FEA" w:rsidRDefault="00A83279" w:rsidP="00607FEA">
      <w:pPr>
        <w:pStyle w:val="Heading2"/>
        <w:rPr>
          <w:rFonts w:ascii="Arial" w:hAnsi="Arial" w:cs="Arial"/>
          <w:color w:val="auto"/>
        </w:rPr>
      </w:pPr>
      <w:bookmarkStart w:id="12" w:name="_Toc129939310"/>
      <w:bookmarkStart w:id="13" w:name="_Toc129939477"/>
      <w:bookmarkStart w:id="14" w:name="_Toc129939770"/>
      <w:bookmarkStart w:id="15" w:name="_Toc129940151"/>
      <w:bookmarkStart w:id="16" w:name="_Toc131156873"/>
      <w:bookmarkStart w:id="17" w:name="_Toc163657085"/>
      <w:r w:rsidRPr="00607FEA">
        <w:rPr>
          <w:rFonts w:ascii="Arial" w:hAnsi="Arial" w:cs="Arial"/>
          <w:color w:val="auto"/>
        </w:rPr>
        <w:t xml:space="preserve">4.1 </w:t>
      </w:r>
      <w:r w:rsidR="008A1FB1" w:rsidRPr="00607FEA">
        <w:rPr>
          <w:rFonts w:ascii="Arial" w:hAnsi="Arial" w:cs="Arial"/>
          <w:color w:val="auto"/>
        </w:rPr>
        <w:t>Duties</w:t>
      </w:r>
      <w:bookmarkEnd w:id="12"/>
      <w:bookmarkEnd w:id="13"/>
      <w:bookmarkEnd w:id="14"/>
      <w:bookmarkEnd w:id="15"/>
      <w:bookmarkEnd w:id="16"/>
      <w:bookmarkEnd w:id="17"/>
      <w:r w:rsidR="008A1FB1" w:rsidRPr="00607FEA">
        <w:rPr>
          <w:rFonts w:ascii="Arial" w:hAnsi="Arial" w:cs="Arial"/>
          <w:color w:val="auto"/>
        </w:rPr>
        <w:t xml:space="preserve"> </w:t>
      </w:r>
    </w:p>
    <w:p w14:paraId="3982FB32" w14:textId="7E39726A" w:rsidR="005F0F2B" w:rsidRPr="005F0F2B" w:rsidRDefault="005F0F2B" w:rsidP="00F963DF">
      <w:pPr>
        <w:jc w:val="both"/>
        <w:rPr>
          <w:rFonts w:eastAsia="Times New Roman"/>
          <w:sz w:val="22"/>
          <w:szCs w:val="22"/>
        </w:rPr>
      </w:pPr>
      <w:bookmarkStart w:id="18" w:name="_Toc120720203"/>
      <w:bookmarkStart w:id="19" w:name="_Toc123192560"/>
      <w:r w:rsidRPr="005F0F2B">
        <w:rPr>
          <w:rFonts w:eastAsia="Times New Roman"/>
          <w:sz w:val="22"/>
          <w:szCs w:val="22"/>
        </w:rPr>
        <w:t xml:space="preserve">The People &amp; OD </w:t>
      </w:r>
      <w:r w:rsidR="00C95C38">
        <w:rPr>
          <w:sz w:val="22"/>
          <w:szCs w:val="22"/>
        </w:rPr>
        <w:t>Subcommittee</w:t>
      </w:r>
      <w:r w:rsidR="007C63C7">
        <w:rPr>
          <w:rFonts w:eastAsia="Times New Roman"/>
          <w:sz w:val="22"/>
          <w:szCs w:val="22"/>
        </w:rPr>
        <w:t xml:space="preserve">'s responsibilities are as follows: </w:t>
      </w:r>
      <w:r w:rsidRPr="005F0F2B">
        <w:rPr>
          <w:rFonts w:eastAsia="Times New Roman"/>
          <w:sz w:val="22"/>
          <w:szCs w:val="22"/>
        </w:rPr>
        <w:t> </w:t>
      </w:r>
    </w:p>
    <w:p w14:paraId="4D47BAB1" w14:textId="0601FC8C" w:rsidR="004C52BF" w:rsidRPr="004C52BF" w:rsidRDefault="004C52BF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sz w:val="22"/>
          <w:szCs w:val="22"/>
        </w:rPr>
        <w:t>T</w:t>
      </w:r>
      <w:r w:rsidR="008A1FB1">
        <w:rPr>
          <w:sz w:val="22"/>
          <w:szCs w:val="22"/>
        </w:rPr>
        <w:t>o</w:t>
      </w:r>
      <w:r w:rsidRPr="005F0F2B">
        <w:rPr>
          <w:sz w:val="22"/>
          <w:szCs w:val="22"/>
        </w:rPr>
        <w:t xml:space="preserve"> provide assurance to </w:t>
      </w:r>
      <w:r>
        <w:rPr>
          <w:sz w:val="22"/>
          <w:szCs w:val="22"/>
        </w:rPr>
        <w:t xml:space="preserve">the </w:t>
      </w:r>
      <w:r w:rsidRPr="005F0F2B">
        <w:rPr>
          <w:sz w:val="22"/>
          <w:szCs w:val="22"/>
        </w:rPr>
        <w:t>Executive Committee regarding the following strategic areas: workforce, health equity, diversity and inclusion, recruitment and retention, staff health, safety and wellbeing, organisation and leadership development, talent management, partnership, and citizenship. </w:t>
      </w:r>
    </w:p>
    <w:p w14:paraId="5ECA2975" w14:textId="491F352C" w:rsid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Embedding organisation wide ownership for the People &amp; OD agenda and unblocking issues when they arise.</w:t>
      </w:r>
    </w:p>
    <w:p w14:paraId="646EDE27" w14:textId="0C4D74EF" w:rsid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Advocating for and upholding our ICB values, working to develop our engaging leadership, culture, and capacity for transformational change</w:t>
      </w:r>
      <w:r>
        <w:rPr>
          <w:rFonts w:eastAsia="Times New Roman"/>
          <w:sz w:val="22"/>
          <w:szCs w:val="22"/>
        </w:rPr>
        <w:t>.</w:t>
      </w:r>
      <w:r w:rsidRPr="005F0F2B">
        <w:rPr>
          <w:rFonts w:eastAsia="Times New Roman"/>
          <w:sz w:val="22"/>
          <w:szCs w:val="22"/>
        </w:rPr>
        <w:t> </w:t>
      </w:r>
    </w:p>
    <w:p w14:paraId="7FB54BA4" w14:textId="54A887B4" w:rsid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 xml:space="preserve">Overseeing the continual development of an inclusive culture in which equity, diversity and belonging is embedded into </w:t>
      </w:r>
      <w:r w:rsidR="004C52BF" w:rsidRPr="005F0F2B">
        <w:rPr>
          <w:rFonts w:eastAsia="Times New Roman"/>
          <w:sz w:val="22"/>
          <w:szCs w:val="22"/>
        </w:rPr>
        <w:t>all</w:t>
      </w:r>
      <w:r w:rsidRPr="005F0F2B">
        <w:rPr>
          <w:rFonts w:eastAsia="Times New Roman"/>
          <w:sz w:val="22"/>
          <w:szCs w:val="22"/>
        </w:rPr>
        <w:t xml:space="preserve"> our people practices, ensuring that the ICB is meeting its legal obligations in relation to equality and diversity. </w:t>
      </w:r>
    </w:p>
    <w:p w14:paraId="76576672" w14:textId="06A19996" w:rsid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 xml:space="preserve">Providing assurance </w:t>
      </w:r>
      <w:r w:rsidR="003F4CFB">
        <w:rPr>
          <w:rFonts w:eastAsia="Times New Roman"/>
          <w:sz w:val="22"/>
          <w:szCs w:val="22"/>
        </w:rPr>
        <w:t xml:space="preserve">to the Executive Committee </w:t>
      </w:r>
      <w:r w:rsidRPr="005F0F2B">
        <w:rPr>
          <w:rFonts w:eastAsia="Times New Roman"/>
          <w:sz w:val="22"/>
          <w:szCs w:val="22"/>
        </w:rPr>
        <w:t>on the development and delivery of a People and Organisational Development strategy that supports the ICB objectives and ensures an appropriate workforce culture is in place.  </w:t>
      </w:r>
    </w:p>
    <w:p w14:paraId="7D6E81AD" w14:textId="23A79DC0" w:rsid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lastRenderedPageBreak/>
        <w:t xml:space="preserve">Receiving reports relating to the creation and delivery of workforce plans aligned to ICB strategies to provide assurance </w:t>
      </w:r>
      <w:r w:rsidR="003F4CFB">
        <w:rPr>
          <w:rFonts w:eastAsia="Times New Roman"/>
          <w:sz w:val="22"/>
          <w:szCs w:val="22"/>
        </w:rPr>
        <w:t xml:space="preserve">to the Executive Committee </w:t>
      </w:r>
      <w:r w:rsidRPr="005F0F2B">
        <w:rPr>
          <w:rFonts w:eastAsia="Times New Roman"/>
          <w:sz w:val="22"/>
          <w:szCs w:val="22"/>
        </w:rPr>
        <w:t xml:space="preserve">that fit for purpose workforce plans are in place, which enable </w:t>
      </w:r>
      <w:r w:rsidR="00F16653">
        <w:rPr>
          <w:rFonts w:eastAsia="Times New Roman"/>
          <w:sz w:val="22"/>
          <w:szCs w:val="22"/>
        </w:rPr>
        <w:t xml:space="preserve">the ICB </w:t>
      </w:r>
      <w:r w:rsidRPr="005F0F2B">
        <w:rPr>
          <w:rFonts w:eastAsia="Times New Roman"/>
          <w:sz w:val="22"/>
          <w:szCs w:val="22"/>
        </w:rPr>
        <w:t xml:space="preserve">to </w:t>
      </w:r>
      <w:r w:rsidR="00F16653">
        <w:rPr>
          <w:rFonts w:eastAsia="Times New Roman"/>
          <w:sz w:val="22"/>
          <w:szCs w:val="22"/>
        </w:rPr>
        <w:t>operate</w:t>
      </w:r>
      <w:r w:rsidRPr="005F0F2B">
        <w:rPr>
          <w:rFonts w:eastAsia="Times New Roman"/>
          <w:sz w:val="22"/>
          <w:szCs w:val="22"/>
        </w:rPr>
        <w:t xml:space="preserve"> within our budget and achieve sustainable staffing models. </w:t>
      </w:r>
    </w:p>
    <w:p w14:paraId="4965D581" w14:textId="66B9B556" w:rsidR="005F0F2B" w:rsidRP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Reviewing the ICB’s workforce performance indicators including sickness absence, training, appraisal, bank and agency usage and expenditure and monitor any necessary corrective plans and actions.  </w:t>
      </w:r>
    </w:p>
    <w:p w14:paraId="62BC904D" w14:textId="77777777" w:rsidR="005F0F2B" w:rsidRP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Ensuring that legal and regulatory requirements relating to the workforce are met.  </w:t>
      </w:r>
    </w:p>
    <w:p w14:paraId="76F8BD06" w14:textId="77777777" w:rsidR="005F0F2B" w:rsidRP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Ensuring that processes are in place to understand and improve staff health and wellbeing. </w:t>
      </w:r>
    </w:p>
    <w:p w14:paraId="3F789454" w14:textId="121F0CA1" w:rsidR="005F0F2B" w:rsidRP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Monitoring the progress of the ICB plans to improve staff engagement and providing a forum for the employee voice to be heard through involvement and advocacy</w:t>
      </w:r>
      <w:r>
        <w:rPr>
          <w:rFonts w:eastAsia="Times New Roman"/>
          <w:sz w:val="22"/>
          <w:szCs w:val="22"/>
        </w:rPr>
        <w:t>.</w:t>
      </w:r>
      <w:r w:rsidRPr="005F0F2B">
        <w:rPr>
          <w:rFonts w:eastAsia="Times New Roman"/>
          <w:sz w:val="22"/>
          <w:szCs w:val="22"/>
        </w:rPr>
        <w:t>  </w:t>
      </w:r>
    </w:p>
    <w:p w14:paraId="0FDF2BD1" w14:textId="4C527765" w:rsidR="005F0F2B" w:rsidRP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Maintain</w:t>
      </w:r>
      <w:r w:rsidR="00963D11">
        <w:rPr>
          <w:rFonts w:eastAsia="Times New Roman"/>
          <w:sz w:val="22"/>
          <w:szCs w:val="22"/>
        </w:rPr>
        <w:t>ing</w:t>
      </w:r>
      <w:r w:rsidRPr="005F0F2B">
        <w:rPr>
          <w:rFonts w:eastAsia="Times New Roman"/>
          <w:sz w:val="22"/>
          <w:szCs w:val="22"/>
        </w:rPr>
        <w:t xml:space="preserve"> oversight and responsibility for People &amp; OD practices across the whole employee lifecycle</w:t>
      </w:r>
      <w:r w:rsidR="003F4CFB">
        <w:rPr>
          <w:rFonts w:eastAsia="Times New Roman"/>
          <w:sz w:val="22"/>
          <w:szCs w:val="22"/>
        </w:rPr>
        <w:t xml:space="preserve"> on behalf of the Executive Committee</w:t>
      </w:r>
      <w:r w:rsidRPr="005F0F2B">
        <w:rPr>
          <w:rFonts w:eastAsia="Times New Roman"/>
          <w:sz w:val="22"/>
          <w:szCs w:val="22"/>
        </w:rPr>
        <w:t>, ensuring we are continually improving outcomes</w:t>
      </w:r>
      <w:r>
        <w:rPr>
          <w:rFonts w:eastAsia="Times New Roman"/>
          <w:sz w:val="22"/>
          <w:szCs w:val="22"/>
        </w:rPr>
        <w:t>.</w:t>
      </w:r>
      <w:r w:rsidRPr="005F0F2B">
        <w:rPr>
          <w:rFonts w:eastAsia="Times New Roman"/>
          <w:sz w:val="22"/>
          <w:szCs w:val="22"/>
        </w:rPr>
        <w:t>  </w:t>
      </w:r>
    </w:p>
    <w:p w14:paraId="7FA0A778" w14:textId="4DB1D940" w:rsidR="005F0F2B" w:rsidRPr="005F0F2B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Providing assurance to the Executive Committee</w:t>
      </w:r>
      <w:r w:rsidR="003F4CFB">
        <w:rPr>
          <w:rFonts w:eastAsia="Times New Roman"/>
          <w:sz w:val="22"/>
          <w:szCs w:val="22"/>
        </w:rPr>
        <w:t>,</w:t>
      </w:r>
      <w:r w:rsidRPr="005F0F2B">
        <w:rPr>
          <w:rFonts w:eastAsia="Times New Roman"/>
          <w:sz w:val="22"/>
          <w:szCs w:val="22"/>
        </w:rPr>
        <w:t xml:space="preserve"> and </w:t>
      </w:r>
      <w:r w:rsidR="003F4CFB">
        <w:rPr>
          <w:rFonts w:eastAsia="Times New Roman"/>
          <w:sz w:val="22"/>
          <w:szCs w:val="22"/>
        </w:rPr>
        <w:t xml:space="preserve">ultimately the </w:t>
      </w:r>
      <w:r w:rsidRPr="005F0F2B">
        <w:rPr>
          <w:rFonts w:eastAsia="Times New Roman"/>
          <w:sz w:val="22"/>
          <w:szCs w:val="22"/>
        </w:rPr>
        <w:t>Board</w:t>
      </w:r>
      <w:r w:rsidR="003F4CFB">
        <w:rPr>
          <w:rFonts w:eastAsia="Times New Roman"/>
          <w:sz w:val="22"/>
          <w:szCs w:val="22"/>
        </w:rPr>
        <w:t>,</w:t>
      </w:r>
      <w:r w:rsidRPr="005F0F2B">
        <w:rPr>
          <w:rFonts w:eastAsia="Times New Roman"/>
          <w:sz w:val="22"/>
          <w:szCs w:val="22"/>
        </w:rPr>
        <w:t xml:space="preserve"> that there are mechanisms in place to allow staff to raise concerns and that these are dealt with in line with policy and national guidance.  </w:t>
      </w:r>
    </w:p>
    <w:p w14:paraId="1C92362C" w14:textId="3AE8445E" w:rsidR="004C52BF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5F0F2B">
        <w:rPr>
          <w:rFonts w:eastAsia="Times New Roman"/>
          <w:sz w:val="22"/>
          <w:szCs w:val="22"/>
        </w:rPr>
        <w:t>Consider the control and mitigation of workforce related risks and provide assurance to the Executive Committee that such risks are being effectively controlled and managed.  </w:t>
      </w:r>
    </w:p>
    <w:p w14:paraId="3A0075C6" w14:textId="7B939500" w:rsidR="007C63C7" w:rsidRPr="004C52BF" w:rsidRDefault="005F0F2B" w:rsidP="00F963DF">
      <w:pPr>
        <w:pStyle w:val="ListParagraph"/>
        <w:numPr>
          <w:ilvl w:val="0"/>
          <w:numId w:val="33"/>
        </w:numPr>
        <w:jc w:val="both"/>
        <w:rPr>
          <w:rFonts w:eastAsia="Times New Roman"/>
          <w:sz w:val="22"/>
          <w:szCs w:val="22"/>
        </w:rPr>
      </w:pPr>
      <w:r w:rsidRPr="004C52BF">
        <w:rPr>
          <w:rFonts w:eastAsia="Times New Roman"/>
          <w:sz w:val="22"/>
          <w:szCs w:val="22"/>
        </w:rPr>
        <w:t xml:space="preserve">Review and provide assurance on those elements of the Strategic Risk Register/ Board Assurance Framework identified as </w:t>
      </w:r>
      <w:r w:rsidR="00833172">
        <w:rPr>
          <w:rFonts w:eastAsia="Times New Roman"/>
          <w:sz w:val="22"/>
          <w:szCs w:val="22"/>
        </w:rPr>
        <w:t>people and organisational development</w:t>
      </w:r>
      <w:r w:rsidRPr="004C52BF">
        <w:rPr>
          <w:rFonts w:eastAsia="Times New Roman"/>
          <w:sz w:val="22"/>
          <w:szCs w:val="22"/>
        </w:rPr>
        <w:t xml:space="preserve">. This review should be upwardly reported to the </w:t>
      </w:r>
      <w:r w:rsidR="007C63C7" w:rsidRPr="004C52BF">
        <w:rPr>
          <w:rFonts w:eastAsia="Times New Roman"/>
          <w:sz w:val="22"/>
          <w:szCs w:val="22"/>
        </w:rPr>
        <w:t xml:space="preserve">Executive Committee </w:t>
      </w:r>
      <w:r w:rsidRPr="004C52BF">
        <w:rPr>
          <w:rFonts w:eastAsia="Times New Roman"/>
          <w:sz w:val="22"/>
          <w:szCs w:val="22"/>
        </w:rPr>
        <w:t>when required.</w:t>
      </w:r>
      <w:r w:rsidRPr="003F1AA4">
        <w:t> </w:t>
      </w:r>
    </w:p>
    <w:p w14:paraId="72BBE065" w14:textId="7018E261" w:rsidR="007C63C7" w:rsidRPr="004C52BF" w:rsidRDefault="007C63C7" w:rsidP="00F963DF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4C52BF">
        <w:rPr>
          <w:sz w:val="22"/>
          <w:szCs w:val="22"/>
        </w:rPr>
        <w:t xml:space="preserve">Implementation of the people priorities including delivery of the </w:t>
      </w:r>
      <w:r w:rsidR="004C52BF" w:rsidRPr="004C52BF">
        <w:rPr>
          <w:sz w:val="22"/>
          <w:szCs w:val="22"/>
        </w:rPr>
        <w:t xml:space="preserve">NHS Long Term Workforce </w:t>
      </w:r>
      <w:r w:rsidRPr="004C52BF">
        <w:rPr>
          <w:sz w:val="22"/>
          <w:szCs w:val="22"/>
        </w:rPr>
        <w:t>Plan and People Promise</w:t>
      </w:r>
      <w:r w:rsidR="004C52BF" w:rsidRPr="004C52BF">
        <w:rPr>
          <w:sz w:val="22"/>
          <w:szCs w:val="22"/>
        </w:rPr>
        <w:t>.</w:t>
      </w:r>
    </w:p>
    <w:p w14:paraId="08BB7AF2" w14:textId="7C87D39F" w:rsidR="007C63C7" w:rsidRPr="004C52BF" w:rsidRDefault="00963D11" w:rsidP="00F963DF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Internal w</w:t>
      </w:r>
      <w:r w:rsidR="007C63C7" w:rsidRPr="004C52BF">
        <w:rPr>
          <w:sz w:val="22"/>
          <w:szCs w:val="22"/>
        </w:rPr>
        <w:t>orkforce planning and sustainability</w:t>
      </w:r>
      <w:r w:rsidR="004C52BF" w:rsidRPr="004C52BF">
        <w:rPr>
          <w:sz w:val="22"/>
          <w:szCs w:val="22"/>
        </w:rPr>
        <w:t>.</w:t>
      </w:r>
    </w:p>
    <w:p w14:paraId="0B5B6CED" w14:textId="05B197E8" w:rsidR="007C63C7" w:rsidRPr="007C63C7" w:rsidRDefault="007C63C7" w:rsidP="00F963DF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7C63C7">
        <w:rPr>
          <w:sz w:val="22"/>
          <w:szCs w:val="22"/>
        </w:rPr>
        <w:t>To approve arrangements for staff recruitment, retention, and development</w:t>
      </w:r>
      <w:r w:rsidR="004C52BF">
        <w:rPr>
          <w:sz w:val="22"/>
          <w:szCs w:val="22"/>
        </w:rPr>
        <w:t>.</w:t>
      </w:r>
    </w:p>
    <w:p w14:paraId="20FB8416" w14:textId="00925D8A" w:rsidR="007C63C7" w:rsidRPr="007C63C7" w:rsidRDefault="007C63C7" w:rsidP="00F963DF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7C63C7">
        <w:rPr>
          <w:sz w:val="22"/>
          <w:szCs w:val="22"/>
        </w:rPr>
        <w:t xml:space="preserve">To advise the </w:t>
      </w:r>
      <w:r w:rsidR="00833172">
        <w:rPr>
          <w:sz w:val="22"/>
          <w:szCs w:val="22"/>
        </w:rPr>
        <w:t>Executive Committee</w:t>
      </w:r>
      <w:r w:rsidRPr="007C63C7">
        <w:rPr>
          <w:sz w:val="22"/>
          <w:szCs w:val="22"/>
        </w:rPr>
        <w:t xml:space="preserve"> on compliance with its statutory duties relating to people and employment legislation and to provide the </w:t>
      </w:r>
      <w:r w:rsidR="00833172">
        <w:rPr>
          <w:sz w:val="22"/>
          <w:szCs w:val="22"/>
        </w:rPr>
        <w:t>Executive Committee</w:t>
      </w:r>
      <w:r w:rsidRPr="007C63C7">
        <w:rPr>
          <w:sz w:val="22"/>
          <w:szCs w:val="22"/>
        </w:rPr>
        <w:t xml:space="preserve"> performance reports of KPIs relating to people and employment</w:t>
      </w:r>
      <w:r w:rsidR="004C52BF">
        <w:rPr>
          <w:sz w:val="22"/>
          <w:szCs w:val="22"/>
        </w:rPr>
        <w:t>.</w:t>
      </w:r>
    </w:p>
    <w:p w14:paraId="638B9F2F" w14:textId="43EE7A4E" w:rsidR="007C63C7" w:rsidRPr="007C63C7" w:rsidRDefault="007C63C7" w:rsidP="00F963DF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7C63C7">
        <w:rPr>
          <w:sz w:val="22"/>
          <w:szCs w:val="22"/>
        </w:rPr>
        <w:t>WRES disclosure</w:t>
      </w:r>
      <w:r w:rsidR="004C52BF">
        <w:rPr>
          <w:sz w:val="22"/>
          <w:szCs w:val="22"/>
        </w:rPr>
        <w:t>.</w:t>
      </w:r>
    </w:p>
    <w:p w14:paraId="29976C7D" w14:textId="0A1B2EBC" w:rsidR="00963D11" w:rsidRPr="00963D11" w:rsidRDefault="007C63C7" w:rsidP="00F963DF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7C63C7">
        <w:rPr>
          <w:sz w:val="22"/>
          <w:szCs w:val="22"/>
        </w:rPr>
        <w:t xml:space="preserve">Prepare a Code of Conduct for staff for approval by the </w:t>
      </w:r>
      <w:bookmarkEnd w:id="18"/>
      <w:bookmarkEnd w:id="19"/>
      <w:r w:rsidR="003F4CFB">
        <w:rPr>
          <w:sz w:val="22"/>
          <w:szCs w:val="22"/>
        </w:rPr>
        <w:t xml:space="preserve">Executive Committee and Board if required </w:t>
      </w:r>
      <w:r w:rsidR="00E06F93" w:rsidRPr="004C52BF">
        <w:rPr>
          <w:rFonts w:eastAsia="Times New Roman"/>
          <w:sz w:val="22"/>
          <w:szCs w:val="22"/>
        </w:rPr>
        <w:t xml:space="preserve"> </w:t>
      </w:r>
      <w:bookmarkStart w:id="20" w:name="_Toc120720208"/>
      <w:bookmarkStart w:id="21" w:name="_Toc123192561"/>
    </w:p>
    <w:p w14:paraId="374A8D49" w14:textId="77777777" w:rsidR="0089084B" w:rsidRPr="0089084B" w:rsidRDefault="00ED6566" w:rsidP="0089084B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963D11">
        <w:rPr>
          <w:rFonts w:eastAsia="Times New Roman"/>
          <w:sz w:val="22"/>
          <w:szCs w:val="22"/>
        </w:rPr>
        <w:t>Produce a</w:t>
      </w:r>
      <w:r w:rsidR="005F0F2B" w:rsidRPr="00963D11">
        <w:rPr>
          <w:rFonts w:eastAsia="Times New Roman"/>
          <w:sz w:val="22"/>
          <w:szCs w:val="22"/>
        </w:rPr>
        <w:t xml:space="preserve"> dashboard of key workforce metrics </w:t>
      </w:r>
      <w:r w:rsidRPr="00963D11">
        <w:rPr>
          <w:rFonts w:eastAsia="Times New Roman"/>
          <w:sz w:val="22"/>
          <w:szCs w:val="22"/>
        </w:rPr>
        <w:t xml:space="preserve">that will be </w:t>
      </w:r>
      <w:r w:rsidR="005F0F2B" w:rsidRPr="00963D11">
        <w:rPr>
          <w:rFonts w:eastAsia="Times New Roman"/>
          <w:sz w:val="22"/>
          <w:szCs w:val="22"/>
        </w:rPr>
        <w:t xml:space="preserve">evaluated monthly by </w:t>
      </w:r>
      <w:r w:rsidR="003F4CFB">
        <w:rPr>
          <w:rFonts w:eastAsia="Times New Roman"/>
          <w:sz w:val="22"/>
          <w:szCs w:val="22"/>
        </w:rPr>
        <w:t>d</w:t>
      </w:r>
      <w:r w:rsidR="005F0F2B" w:rsidRPr="00963D11">
        <w:rPr>
          <w:rFonts w:eastAsia="Times New Roman"/>
          <w:sz w:val="22"/>
          <w:szCs w:val="22"/>
        </w:rPr>
        <w:t xml:space="preserve">irectorate </w:t>
      </w:r>
      <w:r w:rsidR="003F4CFB">
        <w:rPr>
          <w:rFonts w:eastAsia="Times New Roman"/>
          <w:sz w:val="22"/>
          <w:szCs w:val="22"/>
        </w:rPr>
        <w:t>l</w:t>
      </w:r>
      <w:r w:rsidR="005F0F2B" w:rsidRPr="00963D11">
        <w:rPr>
          <w:rFonts w:eastAsia="Times New Roman"/>
          <w:sz w:val="22"/>
          <w:szCs w:val="22"/>
        </w:rPr>
        <w:t xml:space="preserve">ine </w:t>
      </w:r>
      <w:r w:rsidR="003F4CFB">
        <w:rPr>
          <w:rFonts w:eastAsia="Times New Roman"/>
          <w:sz w:val="22"/>
          <w:szCs w:val="22"/>
        </w:rPr>
        <w:t>m</w:t>
      </w:r>
      <w:r w:rsidR="005F0F2B" w:rsidRPr="00963D11">
        <w:rPr>
          <w:rFonts w:eastAsia="Times New Roman"/>
          <w:sz w:val="22"/>
          <w:szCs w:val="22"/>
        </w:rPr>
        <w:t xml:space="preserve">anagers and </w:t>
      </w:r>
      <w:r w:rsidR="00412089" w:rsidRPr="00963D11">
        <w:rPr>
          <w:rFonts w:eastAsia="Times New Roman"/>
          <w:sz w:val="22"/>
          <w:szCs w:val="22"/>
        </w:rPr>
        <w:t>the Subcommittee</w:t>
      </w:r>
      <w:r w:rsidR="005F0F2B" w:rsidRPr="00963D11">
        <w:rPr>
          <w:rFonts w:eastAsia="Times New Roman"/>
          <w:sz w:val="22"/>
          <w:szCs w:val="22"/>
        </w:rPr>
        <w:t xml:space="preserve">. Areas of concern will be highlighted to the Executive Committee as </w:t>
      </w:r>
      <w:r w:rsidRPr="00963D11">
        <w:rPr>
          <w:rFonts w:eastAsia="Times New Roman"/>
          <w:sz w:val="22"/>
          <w:szCs w:val="22"/>
        </w:rPr>
        <w:t>necessary.</w:t>
      </w:r>
      <w:r w:rsidR="005F0F2B" w:rsidRPr="00963D11">
        <w:rPr>
          <w:rFonts w:eastAsia="Times New Roman"/>
          <w:sz w:val="22"/>
          <w:szCs w:val="22"/>
        </w:rPr>
        <w:t> </w:t>
      </w:r>
    </w:p>
    <w:p w14:paraId="1B3A020E" w14:textId="6A0E07B5" w:rsidR="0089084B" w:rsidRPr="0089084B" w:rsidRDefault="00ED6566" w:rsidP="0089084B">
      <w:pPr>
        <w:pStyle w:val="ListParagraph"/>
        <w:numPr>
          <w:ilvl w:val="0"/>
          <w:numId w:val="33"/>
        </w:numPr>
        <w:jc w:val="both"/>
        <w:rPr>
          <w:sz w:val="22"/>
          <w:szCs w:val="22"/>
        </w:rPr>
      </w:pPr>
      <w:r w:rsidRPr="0089084B">
        <w:rPr>
          <w:rFonts w:eastAsia="Times New Roman"/>
          <w:sz w:val="22"/>
          <w:szCs w:val="22"/>
        </w:rPr>
        <w:t>To produce q</w:t>
      </w:r>
      <w:r w:rsidR="005F0F2B" w:rsidRPr="0089084B">
        <w:rPr>
          <w:rFonts w:eastAsia="Times New Roman"/>
          <w:sz w:val="22"/>
          <w:szCs w:val="22"/>
        </w:rPr>
        <w:t xml:space="preserve">uarterly reports </w:t>
      </w:r>
      <w:r w:rsidRPr="0089084B">
        <w:rPr>
          <w:rFonts w:eastAsia="Times New Roman"/>
          <w:sz w:val="22"/>
          <w:szCs w:val="22"/>
        </w:rPr>
        <w:t>for</w:t>
      </w:r>
      <w:r w:rsidR="005F0F2B" w:rsidRPr="0089084B">
        <w:rPr>
          <w:rFonts w:eastAsia="Times New Roman"/>
          <w:sz w:val="22"/>
          <w:szCs w:val="22"/>
        </w:rPr>
        <w:t xml:space="preserve"> the Executive Committee </w:t>
      </w:r>
    </w:p>
    <w:p w14:paraId="54FB0689" w14:textId="77777777" w:rsidR="0089084B" w:rsidRDefault="0089084B" w:rsidP="002C39EC">
      <w:pPr>
        <w:pStyle w:val="ListParagraph"/>
        <w:widowControl w:val="0"/>
        <w:numPr>
          <w:ilvl w:val="1"/>
          <w:numId w:val="0"/>
        </w:numPr>
        <w:spacing w:before="240" w:after="120"/>
        <w:ind w:left="567" w:hanging="567"/>
        <w:jc w:val="both"/>
        <w:rPr>
          <w:rFonts w:eastAsia="Times New Roman"/>
          <w:sz w:val="22"/>
          <w:szCs w:val="22"/>
        </w:rPr>
      </w:pPr>
    </w:p>
    <w:p w14:paraId="64479782" w14:textId="3E432040" w:rsidR="00E06F93" w:rsidRPr="0089084B" w:rsidRDefault="00A83279" w:rsidP="002C39EC">
      <w:pPr>
        <w:pStyle w:val="ListParagraph"/>
        <w:widowControl w:val="0"/>
        <w:numPr>
          <w:ilvl w:val="1"/>
          <w:numId w:val="0"/>
        </w:numPr>
        <w:spacing w:before="240" w:after="120"/>
        <w:ind w:left="567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 </w:t>
      </w:r>
      <w:r w:rsidR="00E06F93" w:rsidRPr="0089084B">
        <w:rPr>
          <w:b/>
          <w:bCs/>
          <w:sz w:val="28"/>
          <w:szCs w:val="28"/>
        </w:rPr>
        <w:t>Authority</w:t>
      </w:r>
      <w:bookmarkEnd w:id="20"/>
      <w:bookmarkEnd w:id="21"/>
    </w:p>
    <w:tbl>
      <w:tblPr>
        <w:tblStyle w:val="TableGrid"/>
        <w:tblW w:w="8936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6237"/>
      </w:tblGrid>
      <w:tr w:rsidR="00E06F93" w:rsidRPr="002D270B" w14:paraId="03E2F96B" w14:textId="77777777" w:rsidTr="002B7C5B">
        <w:trPr>
          <w:trHeight w:val="536"/>
          <w:tblHeader/>
        </w:trPr>
        <w:tc>
          <w:tcPr>
            <w:tcW w:w="8936" w:type="dxa"/>
            <w:gridSpan w:val="2"/>
            <w:shd w:val="clear" w:color="auto" w:fill="EEECE1" w:themeFill="background2"/>
            <w:vAlign w:val="center"/>
          </w:tcPr>
          <w:p w14:paraId="298C3BE8" w14:textId="1EFA63EC" w:rsidR="00E06F93" w:rsidRPr="002D270B" w:rsidRDefault="00E06F93" w:rsidP="002B7C5B">
            <w:pPr>
              <w:ind w:right="2974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t xml:space="preserve">The </w:t>
            </w:r>
            <w:r w:rsidR="00C95C38">
              <w:rPr>
                <w:b/>
                <w:bCs/>
                <w:sz w:val="22"/>
                <w:szCs w:val="22"/>
              </w:rPr>
              <w:t>Subcommittee</w:t>
            </w:r>
            <w:r w:rsidRPr="002D270B">
              <w:rPr>
                <w:b/>
                <w:bCs/>
                <w:sz w:val="22"/>
                <w:szCs w:val="22"/>
              </w:rPr>
              <w:t xml:space="preserve"> is authorised to:</w:t>
            </w:r>
          </w:p>
        </w:tc>
      </w:tr>
      <w:tr w:rsidR="00E06F93" w:rsidRPr="002D270B" w14:paraId="731C3BF5" w14:textId="77777777" w:rsidTr="002B7C5B">
        <w:tc>
          <w:tcPr>
            <w:tcW w:w="2699" w:type="dxa"/>
          </w:tcPr>
          <w:p w14:paraId="358731F2" w14:textId="77777777" w:rsidR="00E06F93" w:rsidRPr="002D270B" w:rsidRDefault="00E06F93" w:rsidP="002B7C5B">
            <w:pPr>
              <w:ind w:right="-397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t>Investigate</w:t>
            </w:r>
          </w:p>
        </w:tc>
        <w:tc>
          <w:tcPr>
            <w:tcW w:w="6237" w:type="dxa"/>
          </w:tcPr>
          <w:p w14:paraId="1E93F3F9" w14:textId="77777777" w:rsidR="00E06F93" w:rsidRDefault="00E06F93" w:rsidP="002B7C5B">
            <w:pPr>
              <w:ind w:right="179"/>
              <w:rPr>
                <w:sz w:val="22"/>
                <w:szCs w:val="22"/>
              </w:rPr>
            </w:pPr>
            <w:r w:rsidRPr="002D270B">
              <w:rPr>
                <w:sz w:val="22"/>
                <w:szCs w:val="22"/>
              </w:rPr>
              <w:t xml:space="preserve">Investigate any activity within its </w:t>
            </w:r>
            <w:r>
              <w:rPr>
                <w:sz w:val="22"/>
                <w:szCs w:val="22"/>
              </w:rPr>
              <w:t>terms of reference</w:t>
            </w:r>
            <w:r w:rsidRPr="002D270B">
              <w:rPr>
                <w:sz w:val="22"/>
                <w:szCs w:val="22"/>
              </w:rPr>
              <w:t>.</w:t>
            </w:r>
          </w:p>
          <w:p w14:paraId="2D034FE1" w14:textId="77777777" w:rsidR="00E06F93" w:rsidRPr="002D270B" w:rsidRDefault="00E06F93" w:rsidP="002B7C5B">
            <w:pPr>
              <w:ind w:right="179"/>
              <w:rPr>
                <w:sz w:val="22"/>
                <w:szCs w:val="22"/>
              </w:rPr>
            </w:pPr>
          </w:p>
        </w:tc>
      </w:tr>
      <w:tr w:rsidR="00E06F93" w:rsidRPr="002D270B" w14:paraId="2A8581FC" w14:textId="77777777" w:rsidTr="002B7C5B">
        <w:tc>
          <w:tcPr>
            <w:tcW w:w="2699" w:type="dxa"/>
          </w:tcPr>
          <w:p w14:paraId="1D352250" w14:textId="77777777" w:rsidR="00E06F93" w:rsidRPr="002D270B" w:rsidRDefault="00E06F93" w:rsidP="002B7C5B">
            <w:pPr>
              <w:ind w:right="-397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t>Seek information</w:t>
            </w:r>
          </w:p>
        </w:tc>
        <w:tc>
          <w:tcPr>
            <w:tcW w:w="6237" w:type="dxa"/>
          </w:tcPr>
          <w:p w14:paraId="1A7217BA" w14:textId="77777777" w:rsidR="00E06F93" w:rsidRDefault="00E06F93" w:rsidP="002B7C5B">
            <w:pPr>
              <w:ind w:right="179"/>
              <w:rPr>
                <w:sz w:val="22"/>
                <w:szCs w:val="22"/>
              </w:rPr>
            </w:pPr>
            <w:r w:rsidRPr="002D270B">
              <w:rPr>
                <w:sz w:val="22"/>
                <w:szCs w:val="22"/>
              </w:rPr>
              <w:t>Seek any information it requires within its remit, from any employee or member of the Board.</w:t>
            </w:r>
          </w:p>
          <w:p w14:paraId="26050B0C" w14:textId="77777777" w:rsidR="00E06F93" w:rsidRPr="002D270B" w:rsidRDefault="00E06F93" w:rsidP="002B7C5B">
            <w:pPr>
              <w:ind w:right="179"/>
              <w:rPr>
                <w:sz w:val="22"/>
                <w:szCs w:val="22"/>
              </w:rPr>
            </w:pPr>
          </w:p>
        </w:tc>
      </w:tr>
      <w:tr w:rsidR="00E06F93" w:rsidRPr="002D270B" w14:paraId="50A7CC85" w14:textId="77777777" w:rsidTr="002B7C5B">
        <w:tc>
          <w:tcPr>
            <w:tcW w:w="2699" w:type="dxa"/>
          </w:tcPr>
          <w:p w14:paraId="5ED863FB" w14:textId="77777777" w:rsidR="00E06F93" w:rsidRPr="002D270B" w:rsidRDefault="00E06F93" w:rsidP="002B7C5B">
            <w:pPr>
              <w:ind w:right="-397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t>Investigate</w:t>
            </w:r>
          </w:p>
        </w:tc>
        <w:tc>
          <w:tcPr>
            <w:tcW w:w="6237" w:type="dxa"/>
          </w:tcPr>
          <w:p w14:paraId="2E80804E" w14:textId="77777777" w:rsidR="00E06F93" w:rsidRDefault="00E06F93" w:rsidP="002B7C5B">
            <w:pPr>
              <w:ind w:right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Commission reports </w:t>
            </w:r>
            <w:r w:rsidRPr="002D270B">
              <w:rPr>
                <w:sz w:val="22"/>
                <w:szCs w:val="22"/>
              </w:rPr>
              <w:t>required to help fulfil its obligations</w:t>
            </w:r>
            <w:r>
              <w:rPr>
                <w:sz w:val="22"/>
                <w:szCs w:val="22"/>
              </w:rPr>
              <w:t xml:space="preserve"> from NECS.</w:t>
            </w:r>
          </w:p>
          <w:p w14:paraId="12C70E4D" w14:textId="77777777" w:rsidR="00E06F93" w:rsidRDefault="00E06F93" w:rsidP="002B7C5B">
            <w:pPr>
              <w:ind w:right="179"/>
              <w:rPr>
                <w:sz w:val="22"/>
                <w:szCs w:val="22"/>
              </w:rPr>
            </w:pPr>
          </w:p>
          <w:p w14:paraId="797C4AE7" w14:textId="28118204" w:rsidR="00E06F93" w:rsidRDefault="00E06F93" w:rsidP="002B7C5B">
            <w:pPr>
              <w:ind w:right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Commission reports</w:t>
            </w:r>
            <w:r w:rsidRPr="002D270B">
              <w:rPr>
                <w:sz w:val="22"/>
                <w:szCs w:val="22"/>
              </w:rPr>
              <w:t xml:space="preserve"> required to help fulfil its obligations</w:t>
            </w:r>
            <w:r>
              <w:rPr>
                <w:sz w:val="22"/>
                <w:szCs w:val="22"/>
              </w:rPr>
              <w:t xml:space="preserve"> from Audit One or the ICB's external auditors, in consultation with the Executive </w:t>
            </w:r>
            <w:r w:rsidR="003F4CFB">
              <w:rPr>
                <w:sz w:val="22"/>
                <w:szCs w:val="22"/>
              </w:rPr>
              <w:t>Chief Finance Officer</w:t>
            </w:r>
            <w:r>
              <w:rPr>
                <w:sz w:val="22"/>
                <w:szCs w:val="22"/>
              </w:rPr>
              <w:t>.</w:t>
            </w:r>
          </w:p>
          <w:p w14:paraId="30528332" w14:textId="77777777" w:rsidR="00E06F93" w:rsidRDefault="00E06F93" w:rsidP="002B7C5B">
            <w:pPr>
              <w:ind w:right="179"/>
              <w:rPr>
                <w:sz w:val="22"/>
                <w:szCs w:val="22"/>
              </w:rPr>
            </w:pPr>
          </w:p>
          <w:p w14:paraId="687FD1A1" w14:textId="489CC129" w:rsidR="00E06F93" w:rsidRDefault="00E06F93" w:rsidP="002B7C5B">
            <w:pPr>
              <w:ind w:right="179"/>
              <w:rPr>
                <w:sz w:val="22"/>
                <w:szCs w:val="22"/>
              </w:rPr>
            </w:pPr>
            <w:r w:rsidRPr="002D270B">
              <w:rPr>
                <w:sz w:val="22"/>
                <w:szCs w:val="22"/>
              </w:rPr>
              <w:t>Commission</w:t>
            </w:r>
            <w:r>
              <w:rPr>
                <w:sz w:val="22"/>
                <w:szCs w:val="22"/>
              </w:rPr>
              <w:t xml:space="preserve"> other external </w:t>
            </w:r>
            <w:r w:rsidRPr="002D270B">
              <w:rPr>
                <w:sz w:val="22"/>
                <w:szCs w:val="22"/>
              </w:rPr>
              <w:t>reports required to help fulfil its obligations</w:t>
            </w:r>
            <w:r>
              <w:rPr>
                <w:sz w:val="22"/>
                <w:szCs w:val="22"/>
              </w:rPr>
              <w:t xml:space="preserve">, subject to the financial limits of the most senior member of the </w:t>
            </w:r>
            <w:r w:rsidR="008113C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ub</w:t>
            </w:r>
            <w:r w:rsidR="003F4CFB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ommittee</w:t>
            </w:r>
            <w:r w:rsidRPr="002D270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D270B">
              <w:rPr>
                <w:sz w:val="22"/>
                <w:szCs w:val="22"/>
              </w:rPr>
              <w:t xml:space="preserve"> </w:t>
            </w:r>
          </w:p>
          <w:p w14:paraId="0A99FDBC" w14:textId="77777777" w:rsidR="00E06F93" w:rsidRPr="00C935BD" w:rsidRDefault="00E06F93" w:rsidP="002B7C5B">
            <w:pPr>
              <w:ind w:right="179"/>
              <w:rPr>
                <w:sz w:val="22"/>
                <w:szCs w:val="22"/>
                <w:highlight w:val="yellow"/>
              </w:rPr>
            </w:pPr>
          </w:p>
        </w:tc>
      </w:tr>
      <w:tr w:rsidR="00E06F93" w:rsidRPr="002D270B" w14:paraId="5240F2CC" w14:textId="77777777" w:rsidTr="002B7C5B">
        <w:tc>
          <w:tcPr>
            <w:tcW w:w="2699" w:type="dxa"/>
          </w:tcPr>
          <w:p w14:paraId="505DDF22" w14:textId="77777777" w:rsidR="00E06F93" w:rsidRPr="002D270B" w:rsidRDefault="00E06F93" w:rsidP="002B7C5B">
            <w:pPr>
              <w:ind w:right="-397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lastRenderedPageBreak/>
              <w:t>Obtain advice</w:t>
            </w:r>
          </w:p>
        </w:tc>
        <w:tc>
          <w:tcPr>
            <w:tcW w:w="6237" w:type="dxa"/>
          </w:tcPr>
          <w:p w14:paraId="3C460CDE" w14:textId="40AB1524" w:rsidR="00E06F93" w:rsidRPr="00C935BD" w:rsidRDefault="00E06F93" w:rsidP="002B7C5B">
            <w:pPr>
              <w:ind w:right="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935BD">
              <w:rPr>
                <w:sz w:val="22"/>
                <w:szCs w:val="22"/>
              </w:rPr>
              <w:t xml:space="preserve">btain independent professional advice and secure the attendance of advisors with relevant expertise to fulfil its functions.  In doing so, the </w:t>
            </w:r>
            <w:r w:rsidR="008113CF">
              <w:rPr>
                <w:sz w:val="22"/>
                <w:szCs w:val="22"/>
              </w:rPr>
              <w:t>Sub</w:t>
            </w:r>
            <w:r w:rsidR="003F4CFB">
              <w:rPr>
                <w:sz w:val="22"/>
                <w:szCs w:val="22"/>
              </w:rPr>
              <w:t>c</w:t>
            </w:r>
            <w:r w:rsidR="008113CF">
              <w:rPr>
                <w:sz w:val="22"/>
                <w:szCs w:val="22"/>
              </w:rPr>
              <w:t>ommittee</w:t>
            </w:r>
            <w:r w:rsidRPr="00C935BD">
              <w:rPr>
                <w:sz w:val="22"/>
                <w:szCs w:val="22"/>
              </w:rPr>
              <w:t xml:space="preserve"> must follow any procedures put in place by the ICB for obtaining professional advice.</w:t>
            </w:r>
          </w:p>
          <w:p w14:paraId="6668819B" w14:textId="77777777" w:rsidR="00E06F93" w:rsidRPr="00C935BD" w:rsidRDefault="00E06F93" w:rsidP="002B7C5B">
            <w:pPr>
              <w:ind w:right="179"/>
              <w:rPr>
                <w:sz w:val="22"/>
                <w:szCs w:val="22"/>
                <w:highlight w:val="yellow"/>
              </w:rPr>
            </w:pPr>
          </w:p>
        </w:tc>
      </w:tr>
      <w:tr w:rsidR="00E06F93" w:rsidRPr="002D270B" w14:paraId="41F1FAD7" w14:textId="77777777" w:rsidTr="002B7C5B">
        <w:tc>
          <w:tcPr>
            <w:tcW w:w="2699" w:type="dxa"/>
          </w:tcPr>
          <w:p w14:paraId="20AF4DA2" w14:textId="77777777" w:rsidR="00E06F93" w:rsidRPr="002D270B" w:rsidRDefault="00E06F93" w:rsidP="002B7C5B">
            <w:pPr>
              <w:ind w:right="-397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t xml:space="preserve">Create </w:t>
            </w:r>
            <w:r>
              <w:rPr>
                <w:b/>
                <w:bCs/>
                <w:sz w:val="22"/>
                <w:szCs w:val="22"/>
              </w:rPr>
              <w:t>Groups</w:t>
            </w:r>
          </w:p>
        </w:tc>
        <w:tc>
          <w:tcPr>
            <w:tcW w:w="6237" w:type="dxa"/>
          </w:tcPr>
          <w:p w14:paraId="00420B4F" w14:textId="6FE7C04A" w:rsidR="00E06F93" w:rsidRPr="002D270B" w:rsidRDefault="00E06F93" w:rsidP="002B7C5B">
            <w:pPr>
              <w:tabs>
                <w:tab w:val="left" w:pos="851"/>
              </w:tabs>
              <w:ind w:right="193"/>
              <w:rPr>
                <w:sz w:val="22"/>
                <w:szCs w:val="22"/>
              </w:rPr>
            </w:pPr>
            <w:r w:rsidRPr="00A0118D">
              <w:rPr>
                <w:sz w:val="22"/>
                <w:szCs w:val="22"/>
              </w:rPr>
              <w:t xml:space="preserve">Groups may be established by </w:t>
            </w:r>
            <w:r>
              <w:rPr>
                <w:sz w:val="22"/>
                <w:szCs w:val="22"/>
              </w:rPr>
              <w:t xml:space="preserve">the </w:t>
            </w:r>
            <w:r w:rsidR="008A1FB1">
              <w:rPr>
                <w:sz w:val="22"/>
                <w:szCs w:val="22"/>
              </w:rPr>
              <w:t>Sub</w:t>
            </w:r>
            <w:r w:rsidR="003F4CFB">
              <w:rPr>
                <w:sz w:val="22"/>
                <w:szCs w:val="22"/>
              </w:rPr>
              <w:t>c</w:t>
            </w:r>
            <w:r w:rsidR="008A1FB1">
              <w:rPr>
                <w:sz w:val="22"/>
                <w:szCs w:val="22"/>
              </w:rPr>
              <w:t>ommittee</w:t>
            </w:r>
            <w:r w:rsidRPr="00A0118D">
              <w:rPr>
                <w:sz w:val="22"/>
                <w:szCs w:val="22"/>
              </w:rPr>
              <w:t xml:space="preserve">, but they have no formal status. They do not have any delegated authority from the </w:t>
            </w:r>
            <w:r w:rsidR="003F4CFB">
              <w:rPr>
                <w:sz w:val="22"/>
                <w:szCs w:val="22"/>
              </w:rPr>
              <w:t>Execu</w:t>
            </w:r>
            <w:r w:rsidR="00237FFC">
              <w:rPr>
                <w:sz w:val="22"/>
                <w:szCs w:val="22"/>
              </w:rPr>
              <w:t>t</w:t>
            </w:r>
            <w:r w:rsidR="003F4CFB">
              <w:rPr>
                <w:sz w:val="22"/>
                <w:szCs w:val="22"/>
              </w:rPr>
              <w:t>ive Committee</w:t>
            </w:r>
            <w:r w:rsidRPr="00A0118D">
              <w:rPr>
                <w:sz w:val="22"/>
                <w:szCs w:val="22"/>
              </w:rPr>
              <w:t xml:space="preserve">. Their decision making is restricted to decisions and limits of individuals as set out in the ICB's </w:t>
            </w:r>
            <w:r w:rsidR="00237FFC">
              <w:rPr>
                <w:sz w:val="22"/>
                <w:szCs w:val="22"/>
              </w:rPr>
              <w:t>f</w:t>
            </w:r>
            <w:r w:rsidRPr="00A0118D">
              <w:rPr>
                <w:sz w:val="22"/>
                <w:szCs w:val="22"/>
              </w:rPr>
              <w:t xml:space="preserve">inancial </w:t>
            </w:r>
            <w:r w:rsidR="00237FFC">
              <w:rPr>
                <w:sz w:val="22"/>
                <w:szCs w:val="22"/>
              </w:rPr>
              <w:t>l</w:t>
            </w:r>
            <w:r w:rsidRPr="00A0118D">
              <w:rPr>
                <w:sz w:val="22"/>
                <w:szCs w:val="22"/>
              </w:rPr>
              <w:t xml:space="preserve">imits and </w:t>
            </w:r>
            <w:r w:rsidR="00237FFC">
              <w:rPr>
                <w:sz w:val="22"/>
                <w:szCs w:val="22"/>
              </w:rPr>
              <w:t>f</w:t>
            </w:r>
            <w:r w:rsidRPr="00A0118D">
              <w:rPr>
                <w:sz w:val="22"/>
                <w:szCs w:val="22"/>
              </w:rPr>
              <w:t xml:space="preserve">inancial </w:t>
            </w:r>
            <w:r w:rsidR="00237FFC">
              <w:rPr>
                <w:sz w:val="22"/>
                <w:szCs w:val="22"/>
              </w:rPr>
              <w:t>d</w:t>
            </w:r>
            <w:r w:rsidRPr="00A0118D">
              <w:rPr>
                <w:sz w:val="22"/>
                <w:szCs w:val="22"/>
              </w:rPr>
              <w:t xml:space="preserve">elegations. These may not be aggregated and therefore the limits are those of the most senior member present at any meeting of the </w:t>
            </w:r>
            <w:r>
              <w:rPr>
                <w:sz w:val="22"/>
                <w:szCs w:val="22"/>
              </w:rPr>
              <w:t>g</w:t>
            </w:r>
            <w:r w:rsidRPr="00A0118D">
              <w:rPr>
                <w:sz w:val="22"/>
                <w:szCs w:val="22"/>
              </w:rPr>
              <w:t>roup. Groups may be permanent or task and finish groups.</w:t>
            </w:r>
          </w:p>
          <w:p w14:paraId="00B885CF" w14:textId="77777777" w:rsidR="00E06F93" w:rsidRPr="002D270B" w:rsidRDefault="00E06F93" w:rsidP="002B7C5B">
            <w:pPr>
              <w:ind w:right="181"/>
              <w:rPr>
                <w:sz w:val="22"/>
                <w:szCs w:val="22"/>
              </w:rPr>
            </w:pPr>
          </w:p>
        </w:tc>
      </w:tr>
    </w:tbl>
    <w:p w14:paraId="4653B317" w14:textId="659E6705" w:rsidR="009E2C07" w:rsidRPr="0089084B" w:rsidRDefault="00A83279" w:rsidP="009E2C07">
      <w:pPr>
        <w:pStyle w:val="Heading2"/>
        <w:keepNext w:val="0"/>
        <w:keepLines w:val="0"/>
        <w:widowControl w:val="0"/>
        <w:numPr>
          <w:ilvl w:val="1"/>
          <w:numId w:val="0"/>
        </w:numPr>
        <w:spacing w:before="240" w:after="120"/>
        <w:ind w:left="567" w:hanging="567"/>
        <w:rPr>
          <w:rFonts w:ascii="Arial" w:hAnsi="Arial" w:cs="Arial"/>
          <w:color w:val="auto"/>
        </w:rPr>
      </w:pPr>
      <w:bookmarkStart w:id="22" w:name="_Toc120720209"/>
      <w:bookmarkStart w:id="23" w:name="_Toc120720561"/>
      <w:bookmarkStart w:id="24" w:name="_Toc163657086"/>
      <w:r>
        <w:rPr>
          <w:rFonts w:ascii="Arial" w:hAnsi="Arial" w:cs="Arial"/>
          <w:color w:val="auto"/>
        </w:rPr>
        <w:t xml:space="preserve">4.3 </w:t>
      </w:r>
      <w:r w:rsidR="009E2C07" w:rsidRPr="0089084B">
        <w:rPr>
          <w:rFonts w:ascii="Arial" w:hAnsi="Arial" w:cs="Arial"/>
          <w:color w:val="auto"/>
        </w:rPr>
        <w:t>Delegation by Scheme of Reservation &amp; Delegation (</w:t>
      </w:r>
      <w:proofErr w:type="spellStart"/>
      <w:r w:rsidR="009E2C07" w:rsidRPr="0089084B">
        <w:rPr>
          <w:rFonts w:ascii="Arial" w:hAnsi="Arial" w:cs="Arial"/>
          <w:color w:val="auto"/>
        </w:rPr>
        <w:t>SoRD</w:t>
      </w:r>
      <w:proofErr w:type="spellEnd"/>
      <w:r w:rsidR="009E2C07" w:rsidRPr="0089084B">
        <w:rPr>
          <w:rFonts w:ascii="Arial" w:hAnsi="Arial" w:cs="Arial"/>
          <w:color w:val="auto"/>
        </w:rPr>
        <w:t>)</w:t>
      </w:r>
      <w:bookmarkEnd w:id="22"/>
      <w:bookmarkEnd w:id="23"/>
      <w:bookmarkEnd w:id="24"/>
    </w:p>
    <w:tbl>
      <w:tblPr>
        <w:tblStyle w:val="TableGrid5"/>
        <w:tblW w:w="8931" w:type="dxa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9E2C07" w:rsidRPr="009E2C07" w14:paraId="6A37E191" w14:textId="77777777" w:rsidTr="00412089">
        <w:trPr>
          <w:trHeight w:val="432"/>
        </w:trPr>
        <w:tc>
          <w:tcPr>
            <w:tcW w:w="8931" w:type="dxa"/>
            <w:shd w:val="clear" w:color="auto" w:fill="EEECE1"/>
            <w:vAlign w:val="center"/>
          </w:tcPr>
          <w:p w14:paraId="140A4CFA" w14:textId="77777777" w:rsidR="009E2C07" w:rsidRPr="009E2C07" w:rsidRDefault="009E2C07" w:rsidP="009E2C07">
            <w:pPr>
              <w:ind w:right="179"/>
              <w:rPr>
                <w:rFonts w:eastAsia="Calibri"/>
                <w:b/>
                <w:bCs/>
                <w:color w:val="FFFFFF"/>
              </w:rPr>
            </w:pPr>
            <w:r w:rsidRPr="009E2C07">
              <w:rPr>
                <w:rFonts w:eastAsia="Calibri"/>
                <w:b/>
                <w:bCs/>
                <w:color w:val="000000"/>
                <w:sz w:val="22"/>
                <w:szCs w:val="22"/>
              </w:rPr>
              <w:t>Decisions Delegated by the Scheme of Reservation &amp; Delegation</w:t>
            </w:r>
          </w:p>
        </w:tc>
      </w:tr>
      <w:tr w:rsidR="009E2C07" w:rsidRPr="00C0138B" w14:paraId="506935D2" w14:textId="77777777" w:rsidTr="008A36BF">
        <w:trPr>
          <w:trHeight w:val="446"/>
        </w:trPr>
        <w:tc>
          <w:tcPr>
            <w:tcW w:w="8931" w:type="dxa"/>
            <w:vAlign w:val="center"/>
          </w:tcPr>
          <w:p w14:paraId="6636690E" w14:textId="5F0F05BC" w:rsidR="009E2C07" w:rsidRPr="00C0138B" w:rsidRDefault="00F16653" w:rsidP="009E2C07">
            <w:pPr>
              <w:spacing w:before="120" w:after="120"/>
              <w:ind w:left="720"/>
              <w:rPr>
                <w:rFonts w:eastAsia="Calibri"/>
                <w:color w:val="000000"/>
                <w:sz w:val="22"/>
                <w:szCs w:val="22"/>
                <w:lang w:eastAsia="en-GB"/>
              </w:rPr>
            </w:pPr>
            <w:r w:rsidRPr="00C0138B">
              <w:rPr>
                <w:rFonts w:eastAsia="Calibri"/>
                <w:color w:val="000000"/>
                <w:sz w:val="22"/>
                <w:szCs w:val="22"/>
                <w:lang w:eastAsia="en-GB"/>
              </w:rPr>
              <w:t xml:space="preserve">Workforce Planning </w:t>
            </w:r>
            <w:r w:rsidR="00A76809" w:rsidRPr="00C0138B">
              <w:rPr>
                <w:rFonts w:eastAsia="Calibri"/>
                <w:color w:val="000000"/>
                <w:sz w:val="22"/>
                <w:szCs w:val="22"/>
                <w:lang w:eastAsia="en-GB"/>
              </w:rPr>
              <w:t xml:space="preserve">(delegated </w:t>
            </w:r>
            <w:r w:rsidR="00237FFC">
              <w:rPr>
                <w:rFonts w:eastAsia="Calibri"/>
                <w:color w:val="000000"/>
                <w:sz w:val="22"/>
                <w:szCs w:val="22"/>
                <w:lang w:eastAsia="en-GB"/>
              </w:rPr>
              <w:t xml:space="preserve">from the </w:t>
            </w:r>
            <w:r w:rsidR="00A76809" w:rsidRPr="00C0138B">
              <w:rPr>
                <w:rFonts w:eastAsia="Calibri"/>
                <w:color w:val="000000"/>
                <w:sz w:val="22"/>
                <w:szCs w:val="22"/>
                <w:lang w:eastAsia="en-GB"/>
              </w:rPr>
              <w:t>Executive Committee as the Parent Committee</w:t>
            </w:r>
            <w:r w:rsidR="00237FFC">
              <w:rPr>
                <w:rFonts w:eastAsia="Calibri"/>
                <w:color w:val="000000"/>
                <w:sz w:val="22"/>
                <w:szCs w:val="22"/>
                <w:lang w:eastAsia="en-GB"/>
              </w:rPr>
              <w:t xml:space="preserve"> and in line with the financial limits and financial delegations</w:t>
            </w:r>
            <w:r w:rsidR="00A76809" w:rsidRPr="00C0138B">
              <w:rPr>
                <w:rFonts w:eastAsia="Calibri"/>
                <w:color w:val="000000"/>
                <w:sz w:val="22"/>
                <w:szCs w:val="22"/>
                <w:lang w:eastAsia="en-GB"/>
              </w:rPr>
              <w:t xml:space="preserve">) </w:t>
            </w:r>
          </w:p>
        </w:tc>
      </w:tr>
    </w:tbl>
    <w:p w14:paraId="1EC7610C" w14:textId="36C7EC10" w:rsidR="00E06F93" w:rsidRPr="0089084B" w:rsidRDefault="00A83279" w:rsidP="008A1FB1">
      <w:pPr>
        <w:pStyle w:val="Heading2"/>
        <w:keepNext w:val="0"/>
        <w:keepLines w:val="0"/>
        <w:widowControl w:val="0"/>
        <w:numPr>
          <w:ilvl w:val="1"/>
          <w:numId w:val="0"/>
        </w:numPr>
        <w:spacing w:before="240" w:after="120"/>
        <w:rPr>
          <w:rFonts w:ascii="Arial" w:hAnsi="Arial" w:cs="Arial"/>
          <w:color w:val="auto"/>
        </w:rPr>
      </w:pPr>
      <w:bookmarkStart w:id="25" w:name="_Toc120720211"/>
      <w:bookmarkStart w:id="26" w:name="_Toc123192563"/>
      <w:bookmarkStart w:id="27" w:name="_Toc163657087"/>
      <w:r>
        <w:rPr>
          <w:rFonts w:ascii="Arial" w:hAnsi="Arial" w:cs="Arial"/>
          <w:color w:val="auto"/>
        </w:rPr>
        <w:t xml:space="preserve">4.4 </w:t>
      </w:r>
      <w:r w:rsidR="00E06F93" w:rsidRPr="0089084B">
        <w:rPr>
          <w:rFonts w:ascii="Arial" w:hAnsi="Arial" w:cs="Arial"/>
          <w:color w:val="auto"/>
        </w:rPr>
        <w:t>Accountability and reporting</w:t>
      </w:r>
      <w:bookmarkEnd w:id="25"/>
      <w:bookmarkEnd w:id="26"/>
      <w:bookmarkEnd w:id="27"/>
      <w:r w:rsidR="00E06F93" w:rsidRPr="0089084B">
        <w:rPr>
          <w:rFonts w:ascii="Arial" w:hAnsi="Arial" w:cs="Arial"/>
          <w:color w:val="auto"/>
        </w:rPr>
        <w:t xml:space="preserve"> </w:t>
      </w:r>
    </w:p>
    <w:p w14:paraId="61E2D137" w14:textId="5E5BDE7A" w:rsidR="00E06F93" w:rsidRPr="002D270B" w:rsidRDefault="00E06F93" w:rsidP="00E06F93">
      <w:pPr>
        <w:pStyle w:val="Indentedparagraph"/>
        <w:rPr>
          <w:rFonts w:cs="Arial"/>
        </w:rPr>
      </w:pPr>
      <w:r w:rsidRPr="002D270B">
        <w:rPr>
          <w:rFonts w:cs="Arial"/>
        </w:rPr>
        <w:t xml:space="preserve">The </w:t>
      </w:r>
      <w:r w:rsidR="008A1FB1" w:rsidRPr="005F0F2B">
        <w:rPr>
          <w:rFonts w:cs="Arial"/>
        </w:rPr>
        <w:t>Sub</w:t>
      </w:r>
      <w:r w:rsidR="00237FFC">
        <w:rPr>
          <w:rFonts w:cs="Arial"/>
        </w:rPr>
        <w:t>c</w:t>
      </w:r>
      <w:r w:rsidR="008A1FB1" w:rsidRPr="005F0F2B">
        <w:rPr>
          <w:rFonts w:cs="Arial"/>
        </w:rPr>
        <w:t>ommittee</w:t>
      </w:r>
      <w:r w:rsidRPr="002D270B">
        <w:rPr>
          <w:rFonts w:cs="Arial"/>
        </w:rPr>
        <w:t xml:space="preserve"> is accountable </w:t>
      </w:r>
      <w:r>
        <w:rPr>
          <w:rFonts w:cs="Arial"/>
        </w:rPr>
        <w:t xml:space="preserve">to its parent committee </w:t>
      </w:r>
      <w:r w:rsidRPr="002D270B">
        <w:rPr>
          <w:rFonts w:cs="Arial"/>
        </w:rPr>
        <w:t xml:space="preserve">and reports to </w:t>
      </w:r>
      <w:r>
        <w:rPr>
          <w:rFonts w:cs="Arial"/>
        </w:rPr>
        <w:t xml:space="preserve">its parent committee </w:t>
      </w:r>
      <w:r w:rsidRPr="002D270B">
        <w:rPr>
          <w:rFonts w:cs="Arial"/>
        </w:rPr>
        <w:t>on how it discharges its responsibilities. </w:t>
      </w:r>
    </w:p>
    <w:p w14:paraId="55810C3D" w14:textId="77777777" w:rsidR="00E06F93" w:rsidRPr="002D270B" w:rsidRDefault="00E06F93" w:rsidP="00E06F93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8936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6663"/>
      </w:tblGrid>
      <w:tr w:rsidR="00E06F93" w:rsidRPr="002D270B" w14:paraId="650F67C6" w14:textId="77777777" w:rsidTr="00963D11">
        <w:trPr>
          <w:trHeight w:val="536"/>
        </w:trPr>
        <w:tc>
          <w:tcPr>
            <w:tcW w:w="2273" w:type="dxa"/>
            <w:shd w:val="clear" w:color="auto" w:fill="EEECE1" w:themeFill="background2"/>
            <w:vAlign w:val="center"/>
          </w:tcPr>
          <w:p w14:paraId="52BF5128" w14:textId="77777777" w:rsidR="00E06F93" w:rsidRPr="002D270B" w:rsidRDefault="00E06F93" w:rsidP="002B7C5B">
            <w:pPr>
              <w:pStyle w:val="ListParagraph"/>
              <w:ind w:left="4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Accountabilities</w:t>
            </w:r>
          </w:p>
        </w:tc>
        <w:tc>
          <w:tcPr>
            <w:tcW w:w="6663" w:type="dxa"/>
            <w:shd w:val="clear" w:color="auto" w:fill="EEECE1" w:themeFill="background2"/>
            <w:vAlign w:val="center"/>
          </w:tcPr>
          <w:p w14:paraId="109952EF" w14:textId="77777777" w:rsidR="00E06F93" w:rsidRPr="002D270B" w:rsidRDefault="00E06F93" w:rsidP="002B7C5B">
            <w:pPr>
              <w:pStyle w:val="ListParagrap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E06F93" w:rsidRPr="002D270B" w14:paraId="172EDA7C" w14:textId="77777777" w:rsidTr="00963D11">
        <w:tc>
          <w:tcPr>
            <w:tcW w:w="2273" w:type="dxa"/>
          </w:tcPr>
          <w:p w14:paraId="1B0D05AD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Draft minutes and reports</w:t>
            </w:r>
          </w:p>
        </w:tc>
        <w:tc>
          <w:tcPr>
            <w:tcW w:w="6663" w:type="dxa"/>
          </w:tcPr>
          <w:p w14:paraId="07449203" w14:textId="77777777" w:rsidR="008A1FB1" w:rsidRPr="007846B5" w:rsidRDefault="008A1FB1" w:rsidP="008A1FB1">
            <w:pPr>
              <w:spacing w:before="120" w:after="120"/>
              <w:rPr>
                <w:rFonts w:eastAsia="Calibri"/>
                <w:color w:val="000000" w:themeColor="text1"/>
                <w:sz w:val="22"/>
                <w:szCs w:val="22"/>
                <w:lang w:eastAsia="en-GB"/>
              </w:rPr>
            </w:pPr>
            <w:r w:rsidRPr="007846B5">
              <w:rPr>
                <w:rFonts w:eastAsia="Calibri"/>
                <w:color w:val="000000" w:themeColor="text1"/>
                <w:sz w:val="22"/>
                <w:szCs w:val="22"/>
                <w:lang w:eastAsia="en-GB"/>
              </w:rPr>
              <w:t xml:space="preserve">The secretary formally records the minutes of each meeting. </w:t>
            </w:r>
          </w:p>
          <w:p w14:paraId="79A68870" w14:textId="40D2DF6D" w:rsidR="00B95DF5" w:rsidRDefault="008A1FB1" w:rsidP="008A1FB1">
            <w:pPr>
              <w:pStyle w:val="Indentedparagraph"/>
              <w:ind w:left="0"/>
            </w:pPr>
            <w:r>
              <w:t xml:space="preserve">Approved minutes will be provided </w:t>
            </w:r>
            <w:r w:rsidRPr="007846B5">
              <w:t xml:space="preserve">to </w:t>
            </w:r>
            <w:r>
              <w:t xml:space="preserve">the </w:t>
            </w:r>
            <w:r w:rsidRPr="007846B5">
              <w:t>parent committee after each meeting</w:t>
            </w:r>
            <w:r>
              <w:t xml:space="preserve">, </w:t>
            </w:r>
            <w:r w:rsidRPr="007846B5">
              <w:t>provid</w:t>
            </w:r>
            <w:r>
              <w:t xml:space="preserve">ing </w:t>
            </w:r>
            <w:r w:rsidRPr="007846B5">
              <w:t>assurances</w:t>
            </w:r>
            <w:r>
              <w:t xml:space="preserve"> on the business considered and </w:t>
            </w:r>
            <w:r w:rsidRPr="007846B5">
              <w:t>escalating any concerns, where necessary.</w:t>
            </w:r>
          </w:p>
          <w:p w14:paraId="40124005" w14:textId="78A213F1" w:rsidR="00B95DF5" w:rsidRPr="002D270B" w:rsidRDefault="00B95DF5" w:rsidP="008A1FB1">
            <w:pPr>
              <w:pStyle w:val="Indentedparagraph"/>
              <w:ind w:left="0"/>
              <w:rPr>
                <w:rFonts w:cs="Arial"/>
              </w:rPr>
            </w:pPr>
            <w:r>
              <w:t>A quarterly highlight report will be presented to the parent committee.</w:t>
            </w:r>
          </w:p>
        </w:tc>
      </w:tr>
      <w:tr w:rsidR="00E06F93" w:rsidRPr="002D270B" w14:paraId="790FD9E9" w14:textId="77777777" w:rsidTr="00963D11">
        <w:tc>
          <w:tcPr>
            <w:tcW w:w="2273" w:type="dxa"/>
          </w:tcPr>
          <w:p w14:paraId="7B807247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Monitor attendance</w:t>
            </w:r>
          </w:p>
        </w:tc>
        <w:tc>
          <w:tcPr>
            <w:tcW w:w="6663" w:type="dxa"/>
          </w:tcPr>
          <w:p w14:paraId="09AD0695" w14:textId="0572DEB7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Attendance is monitored and profiled as part of the agenda at each </w:t>
            </w:r>
            <w:r w:rsidR="008113CF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113CF">
              <w:rPr>
                <w:sz w:val="22"/>
                <w:szCs w:val="22"/>
              </w:rPr>
              <w:t>ommittee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 meeting. </w:t>
            </w:r>
          </w:p>
          <w:p w14:paraId="4DE22E1C" w14:textId="77777777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>Members should aim to attend 100% of meetings and must attend at least 75% of meetings and read all papers beforehand.</w:t>
            </w:r>
          </w:p>
        </w:tc>
      </w:tr>
      <w:tr w:rsidR="008A1FB1" w:rsidRPr="002D270B" w14:paraId="2BA22E4A" w14:textId="77777777" w:rsidTr="00963D11">
        <w:tc>
          <w:tcPr>
            <w:tcW w:w="2273" w:type="dxa"/>
          </w:tcPr>
          <w:p w14:paraId="7027B581" w14:textId="1DD25368" w:rsidR="008A1FB1" w:rsidRPr="002D270B" w:rsidRDefault="008A1FB1" w:rsidP="008A1FB1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Cycle of business</w:t>
            </w:r>
          </w:p>
        </w:tc>
        <w:tc>
          <w:tcPr>
            <w:tcW w:w="6663" w:type="dxa"/>
          </w:tcPr>
          <w:p w14:paraId="3E6B0B6D" w14:textId="22D6D7A4" w:rsidR="008A1FB1" w:rsidRPr="002D270B" w:rsidRDefault="008A1FB1" w:rsidP="008A1FB1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 order to aid agenda planning, the</w:t>
            </w:r>
            <w:r w:rsidRPr="007846B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Sub</w:t>
            </w:r>
            <w:r w:rsidR="00237FFC">
              <w:rPr>
                <w:color w:val="000000" w:themeColor="text1"/>
                <w:sz w:val="22"/>
                <w:szCs w:val="22"/>
              </w:rPr>
              <w:t>c</w:t>
            </w:r>
            <w:r>
              <w:rPr>
                <w:color w:val="000000" w:themeColor="text1"/>
                <w:sz w:val="22"/>
                <w:szCs w:val="22"/>
              </w:rPr>
              <w:t>ommittee</w:t>
            </w:r>
            <w:r w:rsidRPr="007846B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may </w:t>
            </w:r>
            <w:r w:rsidRPr="007846B5">
              <w:rPr>
                <w:color w:val="000000" w:themeColor="text1"/>
                <w:sz w:val="22"/>
                <w:szCs w:val="22"/>
              </w:rPr>
              <w:t xml:space="preserve">produce an annual work plan </w:t>
            </w:r>
            <w:r>
              <w:rPr>
                <w:color w:val="000000" w:themeColor="text1"/>
                <w:sz w:val="22"/>
                <w:szCs w:val="22"/>
              </w:rPr>
              <w:t xml:space="preserve">and cycle of business </w:t>
            </w:r>
            <w:r w:rsidRPr="007846B5">
              <w:rPr>
                <w:color w:val="000000" w:themeColor="text1"/>
                <w:sz w:val="22"/>
                <w:szCs w:val="22"/>
              </w:rPr>
              <w:t>in consultation with its parent committee.</w:t>
            </w:r>
          </w:p>
        </w:tc>
      </w:tr>
      <w:tr w:rsidR="008A1FB1" w:rsidRPr="002D270B" w14:paraId="1E6B10E0" w14:textId="77777777" w:rsidTr="00963D11">
        <w:tc>
          <w:tcPr>
            <w:tcW w:w="2273" w:type="dxa"/>
          </w:tcPr>
          <w:p w14:paraId="06F5921B" w14:textId="77777777" w:rsidR="008A1FB1" w:rsidRDefault="008A1FB1" w:rsidP="008A1FB1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7D6909F" w14:textId="15F2CAF0" w:rsidR="008A1FB1" w:rsidRPr="002D270B" w:rsidRDefault="008A1FB1" w:rsidP="008A1FB1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Continuous improvement</w:t>
            </w:r>
          </w:p>
        </w:tc>
        <w:tc>
          <w:tcPr>
            <w:tcW w:w="6663" w:type="dxa"/>
          </w:tcPr>
          <w:p w14:paraId="649395C8" w14:textId="271B7B28" w:rsidR="008A1FB1" w:rsidRPr="007846B5" w:rsidRDefault="008A1FB1" w:rsidP="008A1FB1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7846B5">
              <w:rPr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color w:val="000000" w:themeColor="text1"/>
                <w:sz w:val="22"/>
                <w:szCs w:val="22"/>
              </w:rPr>
              <w:t>Sub</w:t>
            </w:r>
            <w:r w:rsidR="00237FFC">
              <w:rPr>
                <w:color w:val="000000" w:themeColor="text1"/>
                <w:sz w:val="22"/>
                <w:szCs w:val="22"/>
              </w:rPr>
              <w:t>c</w:t>
            </w:r>
            <w:r>
              <w:rPr>
                <w:color w:val="000000" w:themeColor="text1"/>
                <w:sz w:val="22"/>
                <w:szCs w:val="22"/>
              </w:rPr>
              <w:t>ommittee</w:t>
            </w:r>
            <w:r w:rsidRPr="007846B5">
              <w:rPr>
                <w:color w:val="000000" w:themeColor="text1"/>
                <w:sz w:val="22"/>
                <w:szCs w:val="22"/>
              </w:rPr>
              <w:t xml:space="preserve"> utilises a continuous improvement approach in its delegation.</w:t>
            </w:r>
          </w:p>
          <w:p w14:paraId="4BEEACE1" w14:textId="0CE6167D" w:rsidR="008A1FB1" w:rsidRPr="002D270B" w:rsidRDefault="008A1FB1" w:rsidP="008A1FB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7846B5">
              <w:rPr>
                <w:color w:val="000000" w:themeColor="text1"/>
                <w:sz w:val="22"/>
                <w:szCs w:val="22"/>
              </w:rPr>
              <w:t>Members review the effectiveness of the meeting at each sitting.</w:t>
            </w:r>
          </w:p>
        </w:tc>
      </w:tr>
    </w:tbl>
    <w:p w14:paraId="0D22A4D0" w14:textId="77777777" w:rsidR="00E06F93" w:rsidRPr="002D270B" w:rsidRDefault="00E06F93" w:rsidP="00E06F93">
      <w:pPr>
        <w:pStyle w:val="NormalWeb"/>
        <w:ind w:left="567"/>
        <w:rPr>
          <w:rFonts w:ascii="Arial" w:hAnsi="Arial" w:cs="Arial"/>
          <w:sz w:val="22"/>
          <w:szCs w:val="22"/>
        </w:rPr>
      </w:pPr>
    </w:p>
    <w:p w14:paraId="05197FC8" w14:textId="0E43E381" w:rsidR="00E06F93" w:rsidRPr="002D270B" w:rsidRDefault="004E2AC9" w:rsidP="00A83279">
      <w:pPr>
        <w:pStyle w:val="Heading1"/>
        <w:keepNext w:val="0"/>
        <w:keepLines w:val="0"/>
        <w:widowControl w:val="0"/>
        <w:numPr>
          <w:ilvl w:val="0"/>
          <w:numId w:val="48"/>
        </w:numPr>
        <w:spacing w:before="0" w:after="120"/>
        <w:ind w:left="284"/>
      </w:pPr>
      <w:bookmarkStart w:id="28" w:name="_Toc120720212"/>
      <w:bookmarkStart w:id="29" w:name="_Toc123192564"/>
      <w:bookmarkStart w:id="30" w:name="_Toc163657088"/>
      <w:r>
        <w:t>Sub</w:t>
      </w:r>
      <w:r w:rsidR="00237FFC">
        <w:t>c</w:t>
      </w:r>
      <w:r w:rsidR="00E06F93" w:rsidRPr="002D270B">
        <w:t>ommittee meetings</w:t>
      </w:r>
      <w:bookmarkEnd w:id="28"/>
      <w:bookmarkEnd w:id="29"/>
      <w:bookmarkEnd w:id="30"/>
    </w:p>
    <w:p w14:paraId="3E47C252" w14:textId="77777777" w:rsidR="00E06F93" w:rsidRPr="002D270B" w:rsidRDefault="00E06F93" w:rsidP="00E06F93">
      <w:pPr>
        <w:pStyle w:val="Indentedparagraph"/>
        <w:rPr>
          <w:rFonts w:cs="Arial"/>
        </w:rPr>
      </w:pPr>
      <w:r w:rsidRPr="002D270B">
        <w:rPr>
          <w:rFonts w:cs="Arial"/>
        </w:rPr>
        <w:t>This section sets out meeting:</w:t>
      </w:r>
    </w:p>
    <w:p w14:paraId="61F69323" w14:textId="77777777" w:rsidR="00E06F93" w:rsidRPr="002D270B" w:rsidRDefault="00E06F93" w:rsidP="00E06F93">
      <w:pPr>
        <w:pStyle w:val="Bullet"/>
        <w:rPr>
          <w:rFonts w:cs="Arial"/>
        </w:rPr>
      </w:pPr>
      <w:r w:rsidRPr="002D270B">
        <w:rPr>
          <w:rFonts w:cs="Arial"/>
        </w:rPr>
        <w:t>Composition and quoracy</w:t>
      </w:r>
    </w:p>
    <w:p w14:paraId="4B778D44" w14:textId="77777777" w:rsidR="00E06F93" w:rsidRPr="002D270B" w:rsidRDefault="00E06F93" w:rsidP="00E06F93">
      <w:pPr>
        <w:pStyle w:val="Bullet"/>
        <w:rPr>
          <w:rFonts w:cs="Arial"/>
        </w:rPr>
      </w:pPr>
      <w:r w:rsidRPr="002D270B">
        <w:rPr>
          <w:rFonts w:cs="Arial"/>
        </w:rPr>
        <w:t xml:space="preserve">Frequency and formats </w:t>
      </w:r>
    </w:p>
    <w:p w14:paraId="44734497" w14:textId="77777777" w:rsidR="00E06F93" w:rsidRDefault="00E06F93" w:rsidP="00E06F93">
      <w:pPr>
        <w:pStyle w:val="Bullet"/>
        <w:rPr>
          <w:rFonts w:cs="Arial"/>
        </w:rPr>
      </w:pPr>
      <w:r w:rsidRPr="002D270B">
        <w:rPr>
          <w:rFonts w:cs="Arial"/>
        </w:rPr>
        <w:t>Procedures</w:t>
      </w:r>
    </w:p>
    <w:p w14:paraId="151B3B5C" w14:textId="77777777" w:rsidR="00E06F93" w:rsidRPr="002D270B" w:rsidRDefault="00E06F93" w:rsidP="00E06F93">
      <w:pPr>
        <w:pStyle w:val="Bullet"/>
        <w:numPr>
          <w:ilvl w:val="0"/>
          <w:numId w:val="0"/>
        </w:numPr>
        <w:ind w:left="851"/>
        <w:rPr>
          <w:rFonts w:cs="Arial"/>
        </w:rPr>
      </w:pPr>
    </w:p>
    <w:p w14:paraId="50C0FE7B" w14:textId="51C2A8D3" w:rsidR="00E06F93" w:rsidRPr="0089084B" w:rsidRDefault="00A83279" w:rsidP="00E06F93">
      <w:pPr>
        <w:pStyle w:val="Heading2"/>
        <w:keepNext w:val="0"/>
        <w:keepLines w:val="0"/>
        <w:widowControl w:val="0"/>
        <w:numPr>
          <w:ilvl w:val="1"/>
          <w:numId w:val="0"/>
        </w:numPr>
        <w:spacing w:before="240" w:after="120"/>
        <w:ind w:left="567" w:hanging="567"/>
        <w:rPr>
          <w:rFonts w:ascii="Arial" w:hAnsi="Arial" w:cs="Arial"/>
          <w:color w:val="auto"/>
        </w:rPr>
      </w:pPr>
      <w:bookmarkStart w:id="31" w:name="_Toc120720213"/>
      <w:bookmarkStart w:id="32" w:name="_Toc123192565"/>
      <w:bookmarkStart w:id="33" w:name="_Toc163657089"/>
      <w:r>
        <w:rPr>
          <w:rFonts w:ascii="Arial" w:hAnsi="Arial" w:cs="Arial"/>
          <w:color w:val="auto"/>
        </w:rPr>
        <w:t xml:space="preserve">5.1 </w:t>
      </w:r>
      <w:r w:rsidR="00E06F93" w:rsidRPr="0089084B">
        <w:rPr>
          <w:rFonts w:ascii="Arial" w:hAnsi="Arial" w:cs="Arial"/>
          <w:color w:val="auto"/>
        </w:rPr>
        <w:t>Composition and quoracy</w:t>
      </w:r>
      <w:bookmarkEnd w:id="31"/>
      <w:bookmarkEnd w:id="32"/>
      <w:bookmarkEnd w:id="33"/>
    </w:p>
    <w:p w14:paraId="16EF8828" w14:textId="77777777" w:rsidR="00E06F93" w:rsidRDefault="00E06F93" w:rsidP="00E06F93">
      <w:pPr>
        <w:pStyle w:val="Indentedparagraph"/>
        <w:rPr>
          <w:rFonts w:cs="Arial"/>
        </w:rPr>
      </w:pPr>
      <w:r w:rsidRPr="002D270B">
        <w:rPr>
          <w:rFonts w:cs="Arial"/>
        </w:rPr>
        <w:t>This section sets out the meeting composition and quoracy requirements.</w:t>
      </w:r>
    </w:p>
    <w:p w14:paraId="7E472757" w14:textId="77777777" w:rsidR="00E06F93" w:rsidRDefault="00E06F93" w:rsidP="00963D11">
      <w:pPr>
        <w:pStyle w:val="Indentedparagraph"/>
        <w:ind w:left="0"/>
        <w:rPr>
          <w:rFonts w:cs="Arial"/>
        </w:rPr>
      </w:pPr>
    </w:p>
    <w:tbl>
      <w:tblPr>
        <w:tblStyle w:val="TableGrid"/>
        <w:tblW w:w="8936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088"/>
      </w:tblGrid>
      <w:tr w:rsidR="00E06F93" w:rsidRPr="002D270B" w14:paraId="2C9811BC" w14:textId="77777777" w:rsidTr="002B7C5B">
        <w:trPr>
          <w:tblHeader/>
        </w:trPr>
        <w:tc>
          <w:tcPr>
            <w:tcW w:w="1848" w:type="dxa"/>
            <w:shd w:val="clear" w:color="auto" w:fill="EEECE1" w:themeFill="background2"/>
            <w:vAlign w:val="center"/>
          </w:tcPr>
          <w:p w14:paraId="0ABD3962" w14:textId="77777777" w:rsidR="00E06F93" w:rsidRPr="002D270B" w:rsidRDefault="00E06F93" w:rsidP="002B7C5B">
            <w:pPr>
              <w:spacing w:before="120" w:after="120"/>
              <w:ind w:right="-246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Composition/ quoracy</w:t>
            </w:r>
          </w:p>
        </w:tc>
        <w:tc>
          <w:tcPr>
            <w:tcW w:w="7088" w:type="dxa"/>
            <w:shd w:val="clear" w:color="auto" w:fill="EEECE1" w:themeFill="background2"/>
            <w:vAlign w:val="center"/>
          </w:tcPr>
          <w:p w14:paraId="184F12FC" w14:textId="77777777" w:rsidR="00E06F93" w:rsidRPr="002D270B" w:rsidRDefault="00E06F93" w:rsidP="002B7C5B">
            <w:pPr>
              <w:spacing w:before="120" w:after="120"/>
              <w:ind w:left="315" w:right="-246" w:hanging="315"/>
              <w:rPr>
                <w:b/>
                <w:bCs/>
                <w:color w:val="FFFFFF" w:themeColor="background1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Description of expectations</w:t>
            </w:r>
          </w:p>
        </w:tc>
      </w:tr>
      <w:tr w:rsidR="00E06F93" w:rsidRPr="002D270B" w14:paraId="755DCDEE" w14:textId="77777777" w:rsidTr="002B7C5B">
        <w:tc>
          <w:tcPr>
            <w:tcW w:w="1848" w:type="dxa"/>
          </w:tcPr>
          <w:p w14:paraId="60ED1803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Chair</w:t>
            </w:r>
          </w:p>
        </w:tc>
        <w:tc>
          <w:tcPr>
            <w:tcW w:w="7088" w:type="dxa"/>
          </w:tcPr>
          <w:p w14:paraId="02BF0635" w14:textId="1F96208E" w:rsidR="00E06F93" w:rsidRPr="00F16653" w:rsidRDefault="00B30FFC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Deputy Chief of People &amp; Culture</w:t>
            </w:r>
            <w:r w:rsidRPr="00A8219B">
              <w:rPr>
                <w:sz w:val="22"/>
                <w:szCs w:val="22"/>
              </w:rPr>
              <w:t xml:space="preserve">  </w:t>
            </w:r>
          </w:p>
        </w:tc>
      </w:tr>
      <w:tr w:rsidR="00E06F93" w:rsidRPr="002D270B" w14:paraId="1226BC72" w14:textId="77777777" w:rsidTr="002B7C5B">
        <w:tc>
          <w:tcPr>
            <w:tcW w:w="1848" w:type="dxa"/>
          </w:tcPr>
          <w:p w14:paraId="2AB229E3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Deputy Chair</w:t>
            </w:r>
          </w:p>
        </w:tc>
        <w:tc>
          <w:tcPr>
            <w:tcW w:w="7088" w:type="dxa"/>
          </w:tcPr>
          <w:p w14:paraId="0FFDAEC7" w14:textId="0616F03F" w:rsidR="00E06F93" w:rsidRPr="00F16653" w:rsidRDefault="00145D10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Deputy Director of People, OD and Culture </w:t>
            </w:r>
            <w:r w:rsidR="00C0138B" w:rsidRPr="00A8219B">
              <w:rPr>
                <w:sz w:val="22"/>
                <w:szCs w:val="22"/>
              </w:rPr>
              <w:t> </w:t>
            </w:r>
          </w:p>
        </w:tc>
      </w:tr>
      <w:tr w:rsidR="00E06F93" w:rsidRPr="002D270B" w14:paraId="164D2F99" w14:textId="77777777" w:rsidTr="002B7C5B">
        <w:tc>
          <w:tcPr>
            <w:tcW w:w="1848" w:type="dxa"/>
          </w:tcPr>
          <w:p w14:paraId="73182512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 xml:space="preserve">Absence of Chair or </w:t>
            </w:r>
          </w:p>
          <w:p w14:paraId="00532492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Vice Chair</w:t>
            </w:r>
          </w:p>
        </w:tc>
        <w:tc>
          <w:tcPr>
            <w:tcW w:w="7088" w:type="dxa"/>
          </w:tcPr>
          <w:p w14:paraId="10AEA06D" w14:textId="1B370A37" w:rsidR="00E06F93" w:rsidRPr="002D270B" w:rsidRDefault="00E06F93" w:rsidP="002B7C5B">
            <w:pPr>
              <w:pStyle w:val="Tableparagraph0"/>
              <w:rPr>
                <w:b/>
                <w:bCs/>
              </w:rPr>
            </w:pPr>
            <w:r w:rsidRPr="002D270B">
              <w:t xml:space="preserve">In the absence of the </w:t>
            </w:r>
            <w:r>
              <w:t>c</w:t>
            </w:r>
            <w:r w:rsidRPr="002D270B">
              <w:t xml:space="preserve">hair, or </w:t>
            </w:r>
            <w:r>
              <w:t>v</w:t>
            </w:r>
            <w:r w:rsidRPr="002D270B">
              <w:t xml:space="preserve">ice </w:t>
            </w:r>
            <w:r>
              <w:t>c</w:t>
            </w:r>
            <w:r w:rsidRPr="002D270B">
              <w:t xml:space="preserve">hair, the remaining members present elects one of their number </w:t>
            </w:r>
            <w:r>
              <w:t xml:space="preserve">to </w:t>
            </w:r>
            <w:r w:rsidR="00237FFC">
              <w:t>c</w:t>
            </w:r>
            <w:r w:rsidRPr="002D270B">
              <w:t>hair the meeting.</w:t>
            </w:r>
          </w:p>
        </w:tc>
      </w:tr>
      <w:tr w:rsidR="00E06F93" w:rsidRPr="002D270B" w14:paraId="000EAFB1" w14:textId="77777777" w:rsidTr="002B7C5B">
        <w:tc>
          <w:tcPr>
            <w:tcW w:w="1848" w:type="dxa"/>
          </w:tcPr>
          <w:p w14:paraId="2A27B2B1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Membership</w:t>
            </w:r>
          </w:p>
        </w:tc>
        <w:tc>
          <w:tcPr>
            <w:tcW w:w="7088" w:type="dxa"/>
          </w:tcPr>
          <w:p w14:paraId="09AC0724" w14:textId="298FAE48" w:rsidR="004E2AC9" w:rsidRPr="00F05608" w:rsidRDefault="004E2AC9" w:rsidP="004E2AC9">
            <w:pPr>
              <w:rPr>
                <w:sz w:val="22"/>
                <w:szCs w:val="22"/>
              </w:rPr>
            </w:pPr>
            <w:r w:rsidRPr="00F05608">
              <w:rPr>
                <w:sz w:val="22"/>
                <w:szCs w:val="22"/>
              </w:rPr>
              <w:t>Membership will comprise of core workforce representatives from across the ICB.  </w:t>
            </w:r>
          </w:p>
          <w:p w14:paraId="7C00D3AD" w14:textId="77777777" w:rsidR="004E2AC9" w:rsidRPr="00F05608" w:rsidRDefault="004E2AC9" w:rsidP="004E2AC9">
            <w:pPr>
              <w:rPr>
                <w:b/>
                <w:bCs/>
                <w:sz w:val="22"/>
                <w:szCs w:val="22"/>
              </w:rPr>
            </w:pPr>
          </w:p>
          <w:p w14:paraId="39CF4664" w14:textId="37A1E272" w:rsidR="004E2AC9" w:rsidRDefault="004E2AC9" w:rsidP="004E2AC9">
            <w:pPr>
              <w:rPr>
                <w:sz w:val="22"/>
                <w:szCs w:val="22"/>
              </w:rPr>
            </w:pPr>
            <w:r w:rsidRPr="00F05608">
              <w:rPr>
                <w:b/>
                <w:bCs/>
                <w:sz w:val="22"/>
                <w:szCs w:val="22"/>
              </w:rPr>
              <w:t>Membership</w:t>
            </w:r>
            <w:r w:rsidRPr="00F05608">
              <w:rPr>
                <w:sz w:val="22"/>
                <w:szCs w:val="22"/>
              </w:rPr>
              <w:t>:</w:t>
            </w:r>
          </w:p>
          <w:p w14:paraId="5879073B" w14:textId="361737C7" w:rsidR="00C0138B" w:rsidRDefault="00C0138B" w:rsidP="004E2AC9">
            <w:pPr>
              <w:rPr>
                <w:sz w:val="22"/>
                <w:szCs w:val="22"/>
              </w:rPr>
            </w:pPr>
          </w:p>
          <w:p w14:paraId="46BE7B6C" w14:textId="33D93EA9" w:rsidR="00C0138B" w:rsidRDefault="00C0138B" w:rsidP="00C0138B">
            <w:pPr>
              <w:numPr>
                <w:ilvl w:val="0"/>
                <w:numId w:val="40"/>
              </w:numPr>
              <w:spacing w:after="160" w:line="259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Chief of People &amp; Culture</w:t>
            </w:r>
            <w:r w:rsidRPr="00A8219B">
              <w:rPr>
                <w:sz w:val="22"/>
                <w:szCs w:val="22"/>
              </w:rPr>
              <w:t xml:space="preserve"> </w:t>
            </w:r>
          </w:p>
          <w:p w14:paraId="1491C1D1" w14:textId="30459869" w:rsidR="00C0138B" w:rsidRPr="00F05608" w:rsidRDefault="00C0138B" w:rsidP="00C0138B">
            <w:pPr>
              <w:numPr>
                <w:ilvl w:val="0"/>
                <w:numId w:val="40"/>
              </w:numPr>
              <w:spacing w:after="160" w:line="259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Deputy </w:t>
            </w:r>
            <w:r w:rsidRPr="00F05608">
              <w:rPr>
                <w:sz w:val="22"/>
                <w:szCs w:val="22"/>
              </w:rPr>
              <w:t>Director</w:t>
            </w:r>
            <w:r>
              <w:rPr>
                <w:sz w:val="22"/>
                <w:szCs w:val="22"/>
              </w:rPr>
              <w:t>s</w:t>
            </w:r>
            <w:r w:rsidRPr="00F05608">
              <w:rPr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>People &amp; Culture</w:t>
            </w:r>
            <w:r w:rsidRPr="00F05608">
              <w:rPr>
                <w:sz w:val="22"/>
                <w:szCs w:val="22"/>
              </w:rPr>
              <w:t>  </w:t>
            </w:r>
          </w:p>
          <w:p w14:paraId="4612E094" w14:textId="77777777" w:rsidR="00C0138B" w:rsidRPr="00F05608" w:rsidRDefault="00C0138B" w:rsidP="00C0138B">
            <w:pPr>
              <w:numPr>
                <w:ilvl w:val="0"/>
                <w:numId w:val="43"/>
              </w:numPr>
              <w:spacing w:after="160" w:line="259" w:lineRule="auto"/>
              <w:ind w:left="0"/>
              <w:rPr>
                <w:sz w:val="22"/>
                <w:szCs w:val="22"/>
              </w:rPr>
            </w:pPr>
            <w:r w:rsidRPr="00F05608">
              <w:rPr>
                <w:sz w:val="22"/>
                <w:szCs w:val="22"/>
              </w:rPr>
              <w:t>Staff side representative  </w:t>
            </w:r>
          </w:p>
          <w:p w14:paraId="75D9FB61" w14:textId="244CE560" w:rsidR="00841087" w:rsidRDefault="00841087" w:rsidP="00C0138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Directors of Delivery</w:t>
            </w:r>
          </w:p>
          <w:p w14:paraId="288F8CB5" w14:textId="1CF65C45" w:rsidR="00841087" w:rsidRPr="00841087" w:rsidRDefault="00841087" w:rsidP="00C0138B">
            <w:pPr>
              <w:spacing w:after="160" w:line="259" w:lineRule="auto"/>
              <w:rPr>
                <w:sz w:val="22"/>
                <w:szCs w:val="22"/>
              </w:rPr>
            </w:pPr>
            <w:r w:rsidRPr="00841087">
              <w:rPr>
                <w:sz w:val="22"/>
                <w:szCs w:val="22"/>
              </w:rPr>
              <w:t xml:space="preserve">Directors of Contracting and Oversight – North </w:t>
            </w:r>
            <w:r w:rsidR="00B30FFC">
              <w:rPr>
                <w:sz w:val="22"/>
                <w:szCs w:val="22"/>
              </w:rPr>
              <w:t>or</w:t>
            </w:r>
            <w:r w:rsidRPr="00841087">
              <w:rPr>
                <w:sz w:val="22"/>
                <w:szCs w:val="22"/>
              </w:rPr>
              <w:t xml:space="preserve"> South</w:t>
            </w:r>
          </w:p>
          <w:p w14:paraId="31802CB1" w14:textId="413B3223" w:rsidR="00841087" w:rsidRPr="00841087" w:rsidRDefault="00841087" w:rsidP="00C0138B">
            <w:pPr>
              <w:spacing w:after="160" w:line="259" w:lineRule="auto"/>
              <w:rPr>
                <w:sz w:val="22"/>
                <w:szCs w:val="22"/>
              </w:rPr>
            </w:pPr>
            <w:r w:rsidRPr="00841087">
              <w:rPr>
                <w:sz w:val="22"/>
                <w:szCs w:val="22"/>
              </w:rPr>
              <w:t>Director of Corporate Governance and Board Secretary</w:t>
            </w:r>
          </w:p>
          <w:p w14:paraId="66F830A4" w14:textId="494CF494" w:rsidR="00841087" w:rsidRDefault="00841087" w:rsidP="00C0138B">
            <w:pPr>
              <w:spacing w:after="160" w:line="259" w:lineRule="auto"/>
              <w:rPr>
                <w:sz w:val="22"/>
                <w:szCs w:val="22"/>
              </w:rPr>
            </w:pPr>
            <w:r w:rsidRPr="00841087">
              <w:rPr>
                <w:sz w:val="22"/>
                <w:szCs w:val="22"/>
              </w:rPr>
              <w:t>Director of Communications</w:t>
            </w:r>
          </w:p>
          <w:p w14:paraId="6ED1E799" w14:textId="0DB32652" w:rsidR="00841087" w:rsidRDefault="00841087" w:rsidP="00C0138B">
            <w:pPr>
              <w:spacing w:after="160" w:line="259" w:lineRule="auto"/>
              <w:rPr>
                <w:sz w:val="22"/>
                <w:szCs w:val="22"/>
              </w:rPr>
            </w:pPr>
            <w:r w:rsidRPr="00EA6C81">
              <w:rPr>
                <w:sz w:val="22"/>
                <w:szCs w:val="22"/>
              </w:rPr>
              <w:t>Deputy Director of Technology</w:t>
            </w:r>
          </w:p>
          <w:p w14:paraId="3AF4A9EC" w14:textId="22FA314A" w:rsidR="00EA6C81" w:rsidRPr="00EA6C81" w:rsidRDefault="00EA6C81" w:rsidP="00C0138B">
            <w:pPr>
              <w:spacing w:after="160" w:line="259" w:lineRule="auto"/>
              <w:rPr>
                <w:sz w:val="22"/>
                <w:szCs w:val="22"/>
              </w:rPr>
            </w:pPr>
          </w:p>
          <w:p w14:paraId="4737D802" w14:textId="0DBA8293" w:rsidR="00841087" w:rsidRPr="00EA6C81" w:rsidRDefault="00841087" w:rsidP="00C0138B">
            <w:pPr>
              <w:spacing w:after="160" w:line="259" w:lineRule="auto"/>
              <w:rPr>
                <w:sz w:val="22"/>
                <w:szCs w:val="22"/>
              </w:rPr>
            </w:pPr>
            <w:r w:rsidRPr="00EA6C81">
              <w:rPr>
                <w:sz w:val="22"/>
                <w:szCs w:val="22"/>
              </w:rPr>
              <w:t>Directors of Finance North / South</w:t>
            </w:r>
          </w:p>
          <w:p w14:paraId="7C34B0A6" w14:textId="5C43FC94" w:rsidR="00841087" w:rsidRPr="00EA6C81" w:rsidRDefault="00841087" w:rsidP="00C0138B">
            <w:pPr>
              <w:spacing w:after="160" w:line="259" w:lineRule="auto"/>
              <w:rPr>
                <w:sz w:val="22"/>
                <w:szCs w:val="22"/>
              </w:rPr>
            </w:pPr>
            <w:r w:rsidRPr="00EA6C81">
              <w:rPr>
                <w:sz w:val="22"/>
                <w:szCs w:val="22"/>
              </w:rPr>
              <w:t>Directors of Nursing North / South</w:t>
            </w:r>
          </w:p>
          <w:p w14:paraId="5065B234" w14:textId="680FAFC5" w:rsidR="00841087" w:rsidRDefault="00841087" w:rsidP="00C0138B">
            <w:pPr>
              <w:spacing w:after="160" w:line="259" w:lineRule="auto"/>
              <w:rPr>
                <w:sz w:val="22"/>
                <w:szCs w:val="22"/>
              </w:rPr>
            </w:pPr>
            <w:r w:rsidRPr="00EA6C81">
              <w:rPr>
                <w:sz w:val="22"/>
                <w:szCs w:val="22"/>
              </w:rPr>
              <w:t>Director of</w:t>
            </w:r>
            <w:r w:rsidR="00EA6C81" w:rsidRPr="00EA6C81">
              <w:rPr>
                <w:sz w:val="22"/>
                <w:szCs w:val="22"/>
              </w:rPr>
              <w:t xml:space="preserve"> Midwifery </w:t>
            </w:r>
          </w:p>
          <w:p w14:paraId="34A87B26" w14:textId="719400FB" w:rsidR="00B30FFC" w:rsidRPr="00F05608" w:rsidRDefault="00B30FFC" w:rsidP="00C0138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Safeguarding</w:t>
            </w:r>
          </w:p>
          <w:p w14:paraId="2F51BD1F" w14:textId="61F15E94" w:rsidR="00EA6C81" w:rsidRPr="00EA6C81" w:rsidRDefault="00EA6C81" w:rsidP="00EA6C81">
            <w:pPr>
              <w:spacing w:after="160" w:line="259" w:lineRule="auto"/>
              <w:rPr>
                <w:sz w:val="22"/>
                <w:szCs w:val="22"/>
              </w:rPr>
            </w:pPr>
            <w:r w:rsidRPr="00EA6C81">
              <w:rPr>
                <w:sz w:val="22"/>
                <w:szCs w:val="22"/>
              </w:rPr>
              <w:t>Director of Strategy, Planning &amp; Performance</w:t>
            </w:r>
          </w:p>
          <w:p w14:paraId="30677662" w14:textId="2583E134" w:rsidR="00EA6C81" w:rsidRDefault="00EA6C81" w:rsidP="00EA6C81">
            <w:pPr>
              <w:spacing w:after="160" w:line="259" w:lineRule="auto"/>
              <w:rPr>
                <w:sz w:val="22"/>
                <w:szCs w:val="22"/>
              </w:rPr>
            </w:pPr>
            <w:r w:rsidRPr="00EA6C81">
              <w:rPr>
                <w:sz w:val="22"/>
                <w:szCs w:val="22"/>
              </w:rPr>
              <w:t>Director of Transformation, Primary Care, Community &amp; UEC</w:t>
            </w:r>
            <w:r w:rsidR="00B30FFC">
              <w:rPr>
                <w:sz w:val="22"/>
                <w:szCs w:val="22"/>
              </w:rPr>
              <w:t xml:space="preserve"> or </w:t>
            </w:r>
            <w:r w:rsidR="00B30FFC" w:rsidRPr="00EA6C81">
              <w:rPr>
                <w:sz w:val="22"/>
                <w:szCs w:val="22"/>
              </w:rPr>
              <w:t xml:space="preserve">Director of Transformation Healthier &amp; Fairer </w:t>
            </w:r>
          </w:p>
          <w:p w14:paraId="1993CE06" w14:textId="2B6CE90C" w:rsidR="00B30FFC" w:rsidRDefault="00B30FFC" w:rsidP="00EA6C81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 Director of Medicines and Pharmacy</w:t>
            </w:r>
          </w:p>
          <w:p w14:paraId="3B3FB1C3" w14:textId="7BBD3D8A" w:rsidR="00B30FFC" w:rsidRDefault="00B30FFC" w:rsidP="00EA6C81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 of Medical Directorate</w:t>
            </w:r>
          </w:p>
          <w:p w14:paraId="4C94FBDD" w14:textId="1C4ADDF8" w:rsidR="00B30FFC" w:rsidRPr="00EA6C81" w:rsidRDefault="00B30FFC" w:rsidP="00EA6C81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Director of Cancel Alliance</w:t>
            </w:r>
          </w:p>
          <w:p w14:paraId="4747C732" w14:textId="77777777" w:rsidR="004E2AC9" w:rsidRPr="00F05608" w:rsidRDefault="004E2AC9" w:rsidP="004E2AC9">
            <w:pPr>
              <w:rPr>
                <w:sz w:val="22"/>
                <w:szCs w:val="22"/>
              </w:rPr>
            </w:pPr>
          </w:p>
          <w:p w14:paraId="78F447DC" w14:textId="2E87ED22" w:rsidR="004E2AC9" w:rsidRPr="007C6A7E" w:rsidRDefault="004E2AC9" w:rsidP="004E2AC9">
            <w:pPr>
              <w:rPr>
                <w:color w:val="000000" w:themeColor="text1"/>
                <w:sz w:val="22"/>
                <w:szCs w:val="22"/>
              </w:rPr>
            </w:pPr>
            <w:r w:rsidRPr="00F05608">
              <w:rPr>
                <w:sz w:val="22"/>
                <w:szCs w:val="22"/>
              </w:rPr>
              <w:t>Members are required to send an appropriate deputy where they themselves cannot attend.  </w:t>
            </w:r>
            <w:r w:rsidR="007C6A7E" w:rsidRPr="00F05608">
              <w:rPr>
                <w:color w:val="000000" w:themeColor="text1"/>
                <w:sz w:val="22"/>
                <w:szCs w:val="22"/>
              </w:rPr>
              <w:t>Deputies as agreed by the Chair have the same voting rights as those that they are deputising for.</w:t>
            </w:r>
          </w:p>
          <w:p w14:paraId="4E75C9A4" w14:textId="77777777" w:rsidR="004E2AC9" w:rsidRPr="00F05608" w:rsidRDefault="004E2AC9" w:rsidP="004E2AC9">
            <w:pPr>
              <w:rPr>
                <w:sz w:val="22"/>
                <w:szCs w:val="22"/>
              </w:rPr>
            </w:pPr>
            <w:r w:rsidRPr="00F05608">
              <w:rPr>
                <w:sz w:val="22"/>
                <w:szCs w:val="22"/>
              </w:rPr>
              <w:t> </w:t>
            </w:r>
          </w:p>
          <w:p w14:paraId="17C58933" w14:textId="7355AD79" w:rsidR="004E2AC9" w:rsidRPr="00F05608" w:rsidRDefault="004E2AC9" w:rsidP="004E2AC9">
            <w:pPr>
              <w:rPr>
                <w:sz w:val="22"/>
                <w:szCs w:val="22"/>
              </w:rPr>
            </w:pPr>
            <w:r w:rsidRPr="00F05608">
              <w:rPr>
                <w:sz w:val="22"/>
                <w:szCs w:val="22"/>
              </w:rPr>
              <w:lastRenderedPageBreak/>
              <w:t xml:space="preserve">Members are expected to have devolved accountability for their lead areas and be aware of the key issues to raise at People &amp; OD </w:t>
            </w:r>
            <w:r w:rsidR="008A1FB1" w:rsidRPr="005F0F2B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A1FB1" w:rsidRPr="005F0F2B">
              <w:rPr>
                <w:sz w:val="22"/>
                <w:szCs w:val="22"/>
              </w:rPr>
              <w:t>ommittee</w:t>
            </w:r>
            <w:r w:rsidRPr="00F05608">
              <w:rPr>
                <w:sz w:val="22"/>
                <w:szCs w:val="22"/>
              </w:rPr>
              <w:t xml:space="preserve"> and to endorse/support People &amp; OD </w:t>
            </w:r>
            <w:r w:rsidR="008A1FB1" w:rsidRPr="005F0F2B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A1FB1" w:rsidRPr="005F0F2B">
              <w:rPr>
                <w:sz w:val="22"/>
                <w:szCs w:val="22"/>
              </w:rPr>
              <w:t>ommittee</w:t>
            </w:r>
            <w:r w:rsidRPr="00F05608">
              <w:rPr>
                <w:sz w:val="22"/>
                <w:szCs w:val="22"/>
              </w:rPr>
              <w:t xml:space="preserve"> decision making. All members are expected to represent the views and requirements of their directorate or service group. </w:t>
            </w:r>
          </w:p>
          <w:p w14:paraId="2DC720A6" w14:textId="12471C8F" w:rsidR="004E2AC9" w:rsidRPr="00F05608" w:rsidRDefault="004E2AC9" w:rsidP="004E2AC9">
            <w:pPr>
              <w:rPr>
                <w:sz w:val="22"/>
                <w:szCs w:val="22"/>
              </w:rPr>
            </w:pPr>
            <w:r w:rsidRPr="00F05608">
              <w:rPr>
                <w:sz w:val="22"/>
                <w:szCs w:val="22"/>
              </w:rPr>
              <w:t> </w:t>
            </w:r>
          </w:p>
          <w:p w14:paraId="4B3C4D55" w14:textId="38ECF278" w:rsidR="004E2AC9" w:rsidRPr="00F05608" w:rsidRDefault="004E2AC9" w:rsidP="004E2AC9">
            <w:pPr>
              <w:rPr>
                <w:sz w:val="22"/>
                <w:szCs w:val="22"/>
              </w:rPr>
            </w:pPr>
            <w:r w:rsidRPr="00F05608">
              <w:rPr>
                <w:b/>
                <w:bCs/>
                <w:sz w:val="22"/>
                <w:szCs w:val="22"/>
              </w:rPr>
              <w:t>EDI:</w:t>
            </w:r>
            <w:r w:rsidRPr="00F05608">
              <w:rPr>
                <w:sz w:val="22"/>
                <w:szCs w:val="22"/>
              </w:rPr>
              <w:t xml:space="preserve"> When determining the membership of the </w:t>
            </w:r>
            <w:r w:rsidR="008113CF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113CF">
              <w:rPr>
                <w:sz w:val="22"/>
                <w:szCs w:val="22"/>
              </w:rPr>
              <w:t>ommittee</w:t>
            </w:r>
            <w:r w:rsidRPr="00F05608">
              <w:rPr>
                <w:sz w:val="22"/>
                <w:szCs w:val="22"/>
              </w:rPr>
              <w:t>, consideration will be given to diversity and equality.   </w:t>
            </w:r>
          </w:p>
          <w:p w14:paraId="298CDCE6" w14:textId="77777777" w:rsidR="00F05608" w:rsidRPr="00F05608" w:rsidRDefault="00F05608" w:rsidP="004E2AC9">
            <w:pPr>
              <w:rPr>
                <w:b/>
                <w:bCs/>
                <w:sz w:val="22"/>
                <w:szCs w:val="22"/>
              </w:rPr>
            </w:pPr>
          </w:p>
          <w:p w14:paraId="1296A411" w14:textId="7EEBDC98" w:rsidR="00431B9F" w:rsidRDefault="004E2AC9" w:rsidP="00963D11">
            <w:pPr>
              <w:rPr>
                <w:sz w:val="22"/>
                <w:szCs w:val="22"/>
              </w:rPr>
            </w:pPr>
            <w:r w:rsidRPr="00F05608">
              <w:rPr>
                <w:b/>
                <w:bCs/>
                <w:sz w:val="22"/>
                <w:szCs w:val="22"/>
              </w:rPr>
              <w:t xml:space="preserve">Involvement: </w:t>
            </w:r>
            <w:r w:rsidRPr="00F05608">
              <w:rPr>
                <w:sz w:val="22"/>
                <w:szCs w:val="22"/>
              </w:rPr>
              <w:t>In determining membership consideration will be given to the need for a patient and public involvement.  </w:t>
            </w:r>
          </w:p>
          <w:p w14:paraId="397AACFA" w14:textId="77777777" w:rsidR="00963D11" w:rsidRPr="00963D11" w:rsidRDefault="00963D11" w:rsidP="00963D11">
            <w:pPr>
              <w:rPr>
                <w:sz w:val="22"/>
                <w:szCs w:val="22"/>
              </w:rPr>
            </w:pPr>
          </w:p>
          <w:p w14:paraId="1BD61C77" w14:textId="7044292D" w:rsidR="00E06F93" w:rsidRPr="00F05608" w:rsidRDefault="00431B9F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F05608">
              <w:rPr>
                <w:b/>
                <w:bCs/>
                <w:color w:val="000000" w:themeColor="text1"/>
                <w:sz w:val="22"/>
                <w:szCs w:val="22"/>
              </w:rPr>
              <w:t>Conflicts</w:t>
            </w:r>
            <w:r w:rsidRPr="00F05608">
              <w:rPr>
                <w:color w:val="000000" w:themeColor="text1"/>
                <w:sz w:val="22"/>
                <w:szCs w:val="22"/>
              </w:rPr>
              <w:t>: Consideration must be given to material conflicts in the appointment of members.</w:t>
            </w:r>
          </w:p>
        </w:tc>
      </w:tr>
      <w:tr w:rsidR="00E06F93" w:rsidRPr="002D270B" w14:paraId="4DA7B690" w14:textId="77777777" w:rsidTr="002B7C5B">
        <w:tc>
          <w:tcPr>
            <w:tcW w:w="1848" w:type="dxa"/>
          </w:tcPr>
          <w:p w14:paraId="4E76BE17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Attendees and procedure for absence</w:t>
            </w:r>
          </w:p>
        </w:tc>
        <w:tc>
          <w:tcPr>
            <w:tcW w:w="7088" w:type="dxa"/>
          </w:tcPr>
          <w:p w14:paraId="3C675951" w14:textId="77777777" w:rsidR="00E06F93" w:rsidRPr="00F05608" w:rsidRDefault="00E06F93" w:rsidP="002B7C5B">
            <w:pPr>
              <w:pStyle w:val="Tableparagraph0"/>
            </w:pPr>
            <w:r w:rsidRPr="00F05608">
              <w:t xml:space="preserve">Only members have the right to attend meetings. </w:t>
            </w:r>
          </w:p>
          <w:p w14:paraId="63DA3B2F" w14:textId="751EB4A4" w:rsidR="00E06F93" w:rsidRPr="008A1FB1" w:rsidRDefault="00E06F93" w:rsidP="008A1FB1">
            <w:pPr>
              <w:rPr>
                <w:sz w:val="22"/>
                <w:szCs w:val="22"/>
              </w:rPr>
            </w:pPr>
            <w:r w:rsidRPr="00F05608">
              <w:rPr>
                <w:sz w:val="22"/>
                <w:szCs w:val="22"/>
              </w:rPr>
              <w:t>Other attendees: The chair may elect to co-opt additional attendees, where it is in the interests of the activities to do so.</w:t>
            </w:r>
            <w:r w:rsidR="00F05608" w:rsidRPr="00F05608">
              <w:rPr>
                <w:sz w:val="22"/>
                <w:szCs w:val="22"/>
              </w:rPr>
              <w:t xml:space="preserve">  Membership will be reviewed annually to ensure it remains relevant to the objectives of the </w:t>
            </w:r>
            <w:r w:rsidR="008A1FB1" w:rsidRPr="005F0F2B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A1FB1" w:rsidRPr="005F0F2B">
              <w:rPr>
                <w:sz w:val="22"/>
                <w:szCs w:val="22"/>
              </w:rPr>
              <w:t>ommittee</w:t>
            </w:r>
            <w:r w:rsidR="00F05608" w:rsidRPr="00F05608">
              <w:rPr>
                <w:sz w:val="22"/>
                <w:szCs w:val="22"/>
              </w:rPr>
              <w:t>. </w:t>
            </w:r>
          </w:p>
          <w:p w14:paraId="461D7435" w14:textId="77777777" w:rsidR="00E06F93" w:rsidRPr="00F05608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5608">
              <w:rPr>
                <w:b/>
                <w:bCs/>
                <w:color w:val="000000" w:themeColor="text1"/>
                <w:sz w:val="22"/>
                <w:szCs w:val="22"/>
              </w:rPr>
              <w:t>Procedure for absence:</w:t>
            </w:r>
            <w:r w:rsidRPr="00F05608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2FFF1F0" w14:textId="2D042026" w:rsidR="00E06F93" w:rsidRPr="00F05608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F05608">
              <w:rPr>
                <w:color w:val="000000" w:themeColor="text1"/>
                <w:sz w:val="22"/>
                <w:szCs w:val="22"/>
              </w:rPr>
              <w:t xml:space="preserve">Where a member or any regular attendee of the </w:t>
            </w:r>
            <w:r w:rsidR="00C95C38">
              <w:rPr>
                <w:sz w:val="22"/>
                <w:szCs w:val="22"/>
              </w:rPr>
              <w:t>Subcommittee</w:t>
            </w:r>
            <w:r w:rsidRPr="00F05608">
              <w:rPr>
                <w:color w:val="000000" w:themeColor="text1"/>
                <w:sz w:val="22"/>
                <w:szCs w:val="22"/>
              </w:rPr>
              <w:t xml:space="preserve"> is unable to attend a meeting, a suitable alternative may be agreed with the </w:t>
            </w:r>
            <w:r w:rsidR="008A1FB1">
              <w:rPr>
                <w:color w:val="000000" w:themeColor="text1"/>
                <w:sz w:val="22"/>
                <w:szCs w:val="22"/>
              </w:rPr>
              <w:t>C</w:t>
            </w:r>
            <w:r w:rsidRPr="00F05608">
              <w:rPr>
                <w:color w:val="000000" w:themeColor="text1"/>
                <w:sz w:val="22"/>
                <w:szCs w:val="22"/>
              </w:rPr>
              <w:t xml:space="preserve">hair. </w:t>
            </w:r>
          </w:p>
          <w:p w14:paraId="5FF17879" w14:textId="3A3DD1D1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F05608">
              <w:rPr>
                <w:color w:val="000000" w:themeColor="text1"/>
                <w:sz w:val="22"/>
                <w:szCs w:val="22"/>
              </w:rPr>
              <w:t xml:space="preserve">The </w:t>
            </w:r>
            <w:r w:rsidR="008A1FB1">
              <w:rPr>
                <w:color w:val="000000" w:themeColor="text1"/>
                <w:sz w:val="22"/>
                <w:szCs w:val="22"/>
              </w:rPr>
              <w:t>C</w:t>
            </w:r>
            <w:r w:rsidRPr="00F05608">
              <w:rPr>
                <w:color w:val="000000" w:themeColor="text1"/>
                <w:sz w:val="22"/>
                <w:szCs w:val="22"/>
              </w:rPr>
              <w:t>hair may ask any or all of those who normally attend to withdraw to facilitate open and frank discussion of particular matters.</w:t>
            </w:r>
          </w:p>
        </w:tc>
      </w:tr>
      <w:tr w:rsidR="00E06F93" w:rsidRPr="002D270B" w14:paraId="57DE7EFC" w14:textId="77777777" w:rsidTr="002B7C5B">
        <w:tc>
          <w:tcPr>
            <w:tcW w:w="1848" w:type="dxa"/>
          </w:tcPr>
          <w:p w14:paraId="36138EC6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Quoracy and Procedure for Inquoracy</w:t>
            </w:r>
          </w:p>
        </w:tc>
        <w:tc>
          <w:tcPr>
            <w:tcW w:w="7088" w:type="dxa"/>
          </w:tcPr>
          <w:p w14:paraId="27592151" w14:textId="210D9E4B" w:rsidR="00E06F93" w:rsidRPr="002C7FDE" w:rsidRDefault="00E06F93" w:rsidP="002C7FDE">
            <w:pPr>
              <w:numPr>
                <w:ilvl w:val="0"/>
                <w:numId w:val="40"/>
              </w:numPr>
              <w:spacing w:after="160" w:line="259" w:lineRule="auto"/>
              <w:ind w:left="0"/>
              <w:rPr>
                <w:sz w:val="22"/>
                <w:szCs w:val="22"/>
              </w:rPr>
            </w:pPr>
            <w:r w:rsidRPr="002D270B">
              <w:rPr>
                <w:b/>
                <w:color w:val="000000" w:themeColor="text1"/>
                <w:sz w:val="22"/>
                <w:szCs w:val="22"/>
              </w:rPr>
              <w:t>Threshold: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 A minimum of </w:t>
            </w:r>
            <w:r>
              <w:rPr>
                <w:color w:val="000000" w:themeColor="text1"/>
                <w:sz w:val="22"/>
                <w:szCs w:val="22"/>
              </w:rPr>
              <w:t xml:space="preserve">half the membership </w:t>
            </w:r>
            <w:r w:rsidR="00A8219B">
              <w:rPr>
                <w:color w:val="000000" w:themeColor="text1"/>
                <w:sz w:val="22"/>
                <w:szCs w:val="22"/>
              </w:rPr>
              <w:t xml:space="preserve">and must include the </w:t>
            </w:r>
            <w:r w:rsidR="002C7FDE">
              <w:rPr>
                <w:sz w:val="22"/>
                <w:szCs w:val="22"/>
              </w:rPr>
              <w:t>Deputy Chief of People &amp; Culture</w:t>
            </w:r>
            <w:r w:rsidR="00833172">
              <w:rPr>
                <w:sz w:val="22"/>
                <w:szCs w:val="22"/>
              </w:rPr>
              <w:t xml:space="preserve">, 1x Director of Delivery, </w:t>
            </w:r>
            <w:r w:rsidR="007C6A7E">
              <w:rPr>
                <w:sz w:val="22"/>
                <w:szCs w:val="22"/>
              </w:rPr>
              <w:t>1x Director of Finance,</w:t>
            </w:r>
            <w:r w:rsidR="00833172">
              <w:rPr>
                <w:sz w:val="22"/>
                <w:szCs w:val="22"/>
              </w:rPr>
              <w:t>1x Director of Contracting &amp; Oversight and 1x Director of Nursing</w:t>
            </w:r>
            <w:r w:rsidR="002C7FDE" w:rsidRPr="00A8219B">
              <w:rPr>
                <w:sz w:val="22"/>
                <w:szCs w:val="22"/>
              </w:rPr>
              <w:t xml:space="preserve"> </w:t>
            </w:r>
            <w:r w:rsidR="00833172">
              <w:rPr>
                <w:sz w:val="22"/>
                <w:szCs w:val="22"/>
              </w:rPr>
              <w:t>(</w:t>
            </w:r>
            <w:r w:rsidR="00412089" w:rsidRPr="002C7FDE">
              <w:rPr>
                <w:color w:val="000000" w:themeColor="text1"/>
                <w:sz w:val="22"/>
                <w:szCs w:val="22"/>
              </w:rPr>
              <w:t>or nominated</w:t>
            </w:r>
            <w:r w:rsidR="00A8219B" w:rsidRPr="002C7FDE">
              <w:rPr>
                <w:color w:val="000000" w:themeColor="text1"/>
                <w:sz w:val="22"/>
                <w:szCs w:val="22"/>
              </w:rPr>
              <w:t xml:space="preserve"> deput</w:t>
            </w:r>
            <w:r w:rsidR="00833172">
              <w:rPr>
                <w:color w:val="000000" w:themeColor="text1"/>
                <w:sz w:val="22"/>
                <w:szCs w:val="22"/>
              </w:rPr>
              <w:t>ies)</w:t>
            </w:r>
            <w:r w:rsidRPr="002C7FDE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215FDCAC" w14:textId="77777777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Absence: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 Where members are unable to attend, they should </w:t>
            </w:r>
            <w:r>
              <w:rPr>
                <w:color w:val="000000" w:themeColor="text1"/>
                <w:sz w:val="22"/>
                <w:szCs w:val="22"/>
              </w:rPr>
              <w:t>agree this with the chair.</w:t>
            </w:r>
          </w:p>
          <w:p w14:paraId="75A16775" w14:textId="7098A1B4" w:rsidR="00E06F93" w:rsidRPr="002D270B" w:rsidRDefault="00E06F93" w:rsidP="002B7C5B">
            <w:pPr>
              <w:spacing w:before="120" w:after="120"/>
              <w:ind w:firstLine="3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 xml:space="preserve">Disqualification: 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If any member of the </w:t>
            </w:r>
            <w:r w:rsidR="00C95C38">
              <w:rPr>
                <w:sz w:val="22"/>
                <w:szCs w:val="22"/>
              </w:rPr>
              <w:t>Subcommittee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 is disqualified from participating in an item on the agenda, due to a declared conflict of interest, that individual no longer counts towards the quorum.</w:t>
            </w: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C0ADD74" w14:textId="77777777" w:rsidR="00E06F93" w:rsidRPr="002D270B" w:rsidRDefault="00E06F93" w:rsidP="002B7C5B">
            <w:pPr>
              <w:spacing w:before="120" w:after="120"/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 xml:space="preserve">Inquoracy: 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If the quorum is not reached, the meeting may proceed if those </w:t>
            </w:r>
            <w:r>
              <w:rPr>
                <w:color w:val="000000" w:themeColor="text1"/>
                <w:sz w:val="22"/>
                <w:szCs w:val="22"/>
              </w:rPr>
              <w:t xml:space="preserve">members </w:t>
            </w:r>
            <w:r w:rsidRPr="002D270B">
              <w:rPr>
                <w:color w:val="000000" w:themeColor="text1"/>
                <w:sz w:val="22"/>
                <w:szCs w:val="22"/>
              </w:rPr>
              <w:t>attending agree, but no decisions may be taken.</w:t>
            </w:r>
            <w:r w:rsidRPr="002D270B">
              <w:t xml:space="preserve"> </w:t>
            </w:r>
          </w:p>
        </w:tc>
      </w:tr>
    </w:tbl>
    <w:p w14:paraId="0DBA6D34" w14:textId="77777777" w:rsidR="00E06F93" w:rsidRPr="002D270B" w:rsidRDefault="00E06F93" w:rsidP="00E06F93">
      <w:pPr>
        <w:pStyle w:val="Indentedparagraph"/>
        <w:rPr>
          <w:rFonts w:cs="Arial"/>
        </w:rPr>
      </w:pPr>
    </w:p>
    <w:p w14:paraId="43FC2DB2" w14:textId="298D5281" w:rsidR="00E06F93" w:rsidRPr="0089084B" w:rsidRDefault="00A83279" w:rsidP="00E06F93">
      <w:pPr>
        <w:pStyle w:val="Heading2"/>
        <w:keepNext w:val="0"/>
        <w:keepLines w:val="0"/>
        <w:widowControl w:val="0"/>
        <w:numPr>
          <w:ilvl w:val="1"/>
          <w:numId w:val="0"/>
        </w:numPr>
        <w:spacing w:before="240" w:after="120"/>
        <w:ind w:left="567" w:hanging="567"/>
        <w:rPr>
          <w:rFonts w:ascii="Arial" w:hAnsi="Arial" w:cs="Arial"/>
          <w:color w:val="auto"/>
        </w:rPr>
      </w:pPr>
      <w:bookmarkStart w:id="34" w:name="_Toc120720214"/>
      <w:bookmarkStart w:id="35" w:name="_Toc123192566"/>
      <w:bookmarkStart w:id="36" w:name="_Toc163657090"/>
      <w:r>
        <w:rPr>
          <w:rFonts w:ascii="Arial" w:hAnsi="Arial" w:cs="Arial"/>
          <w:color w:val="auto"/>
        </w:rPr>
        <w:t xml:space="preserve">5.2 </w:t>
      </w:r>
      <w:r w:rsidR="00E06F93" w:rsidRPr="0089084B">
        <w:rPr>
          <w:rFonts w:ascii="Arial" w:hAnsi="Arial" w:cs="Arial"/>
          <w:color w:val="auto"/>
        </w:rPr>
        <w:t>Frequency and formats</w:t>
      </w:r>
      <w:bookmarkEnd w:id="34"/>
      <w:bookmarkEnd w:id="35"/>
      <w:bookmarkEnd w:id="36"/>
    </w:p>
    <w:p w14:paraId="3C71DC48" w14:textId="1BE28786" w:rsidR="00E06F93" w:rsidRPr="002D270B" w:rsidRDefault="00E06F93" w:rsidP="00E06F93">
      <w:pPr>
        <w:pStyle w:val="Indentedparagraph"/>
        <w:rPr>
          <w:rFonts w:cs="Arial"/>
        </w:rPr>
      </w:pPr>
      <w:r w:rsidRPr="002D270B">
        <w:rPr>
          <w:rFonts w:cs="Arial"/>
        </w:rPr>
        <w:t xml:space="preserve">This section on </w:t>
      </w:r>
      <w:r w:rsidR="00C95C38">
        <w:rPr>
          <w:rFonts w:cs="Arial"/>
        </w:rPr>
        <w:t>Subcommittee</w:t>
      </w:r>
      <w:r w:rsidRPr="002D270B">
        <w:rPr>
          <w:rFonts w:cs="Arial"/>
        </w:rPr>
        <w:t xml:space="preserve"> meetings describes the meeting frequency and formats.</w:t>
      </w:r>
    </w:p>
    <w:p w14:paraId="1DAA7CDD" w14:textId="46D6F628" w:rsidR="00E06F93" w:rsidRDefault="00E06F93" w:rsidP="00E06F93">
      <w:pPr>
        <w:rPr>
          <w:b/>
          <w:bCs/>
        </w:rPr>
      </w:pPr>
    </w:p>
    <w:tbl>
      <w:tblPr>
        <w:tblStyle w:val="TableGrid"/>
        <w:tblW w:w="8936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3"/>
        <w:gridCol w:w="6957"/>
      </w:tblGrid>
      <w:tr w:rsidR="00E06F93" w:rsidRPr="002D270B" w14:paraId="50F8323C" w14:textId="77777777" w:rsidTr="00EB5E23">
        <w:trPr>
          <w:tblHeader/>
        </w:trPr>
        <w:tc>
          <w:tcPr>
            <w:tcW w:w="1979" w:type="dxa"/>
            <w:gridSpan w:val="2"/>
            <w:shd w:val="clear" w:color="auto" w:fill="EEECE1" w:themeFill="background2"/>
            <w:vAlign w:val="center"/>
          </w:tcPr>
          <w:p w14:paraId="3084E88D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Frequency/ format</w:t>
            </w:r>
          </w:p>
        </w:tc>
        <w:tc>
          <w:tcPr>
            <w:tcW w:w="6957" w:type="dxa"/>
            <w:shd w:val="clear" w:color="auto" w:fill="EEECE1" w:themeFill="background2"/>
            <w:vAlign w:val="center"/>
          </w:tcPr>
          <w:p w14:paraId="75DA40E3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 xml:space="preserve">Description </w:t>
            </w:r>
          </w:p>
        </w:tc>
      </w:tr>
      <w:tr w:rsidR="00E06F93" w:rsidRPr="002D270B" w14:paraId="3137A7B3" w14:textId="77777777" w:rsidTr="00EB5E23">
        <w:tc>
          <w:tcPr>
            <w:tcW w:w="1956" w:type="dxa"/>
          </w:tcPr>
          <w:p w14:paraId="5CAC05AE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Meeting frequency</w:t>
            </w:r>
          </w:p>
        </w:tc>
        <w:tc>
          <w:tcPr>
            <w:tcW w:w="6980" w:type="dxa"/>
            <w:gridSpan w:val="2"/>
          </w:tcPr>
          <w:p w14:paraId="4E62D4E7" w14:textId="4019827E" w:rsidR="00E06F93" w:rsidRPr="00F05608" w:rsidRDefault="00E06F93" w:rsidP="002B7C5B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F05608">
              <w:rPr>
                <w:color w:val="000000" w:themeColor="text1"/>
                <w:sz w:val="22"/>
                <w:szCs w:val="22"/>
              </w:rPr>
              <w:t xml:space="preserve">The </w:t>
            </w:r>
            <w:r w:rsidR="008A1FB1" w:rsidRPr="005F0F2B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A1FB1" w:rsidRPr="005F0F2B">
              <w:rPr>
                <w:sz w:val="22"/>
                <w:szCs w:val="22"/>
              </w:rPr>
              <w:t>ommittee</w:t>
            </w:r>
            <w:r w:rsidRPr="00F05608">
              <w:rPr>
                <w:color w:val="000000" w:themeColor="text1"/>
                <w:sz w:val="22"/>
                <w:szCs w:val="22"/>
              </w:rPr>
              <w:t xml:space="preserve"> will meet</w:t>
            </w:r>
            <w:r w:rsidR="00F05608" w:rsidRPr="00F05608">
              <w:rPr>
                <w:color w:val="000000" w:themeColor="text1"/>
                <w:sz w:val="22"/>
                <w:szCs w:val="22"/>
              </w:rPr>
              <w:t xml:space="preserve"> at least 10 times per year.</w:t>
            </w:r>
          </w:p>
          <w:p w14:paraId="408E82F3" w14:textId="2E2B565D" w:rsidR="00E06F93" w:rsidRPr="00F05608" w:rsidRDefault="00E06F93" w:rsidP="002B7C5B">
            <w:pPr>
              <w:pStyle w:val="Tableparagraph0"/>
            </w:pPr>
            <w:r w:rsidRPr="00F05608">
              <w:t xml:space="preserve">Additional meetings may be convened on an exceptional basis at the discretion of the </w:t>
            </w:r>
            <w:r w:rsidR="008A1FB1" w:rsidRPr="005F0F2B">
              <w:t>Sub</w:t>
            </w:r>
            <w:r w:rsidR="00237FFC">
              <w:t>c</w:t>
            </w:r>
            <w:r w:rsidR="008A1FB1" w:rsidRPr="005F0F2B">
              <w:t>ommittee</w:t>
            </w:r>
            <w:r w:rsidRPr="00F05608">
              <w:t xml:space="preserve"> </w:t>
            </w:r>
            <w:r w:rsidR="008A1FB1">
              <w:t>C</w:t>
            </w:r>
            <w:r w:rsidRPr="00F05608">
              <w:t>hair.</w:t>
            </w:r>
          </w:p>
          <w:p w14:paraId="364286BC" w14:textId="362BB796" w:rsidR="00E06F93" w:rsidRPr="00F05608" w:rsidRDefault="00E06F93" w:rsidP="002B7C5B">
            <w:pPr>
              <w:pStyle w:val="Tableparagraph0"/>
            </w:pPr>
            <w:r w:rsidRPr="00F05608">
              <w:t xml:space="preserve">The </w:t>
            </w:r>
            <w:r w:rsidR="00F05608" w:rsidRPr="00F05608">
              <w:t>Executive</w:t>
            </w:r>
            <w:r w:rsidRPr="00F05608">
              <w:t xml:space="preserve"> </w:t>
            </w:r>
            <w:r w:rsidR="00F05608" w:rsidRPr="00F05608">
              <w:t>C</w:t>
            </w:r>
            <w:r w:rsidRPr="00F05608">
              <w:t xml:space="preserve">ommittee </w:t>
            </w:r>
            <w:r w:rsidR="00237FFC">
              <w:t>C</w:t>
            </w:r>
            <w:r w:rsidRPr="00F05608">
              <w:t xml:space="preserve">hair may ask the </w:t>
            </w:r>
            <w:r w:rsidR="008A1FB1" w:rsidRPr="005F0F2B">
              <w:t>Sub</w:t>
            </w:r>
            <w:r w:rsidR="00237FFC">
              <w:t>c</w:t>
            </w:r>
            <w:r w:rsidR="008A1FB1" w:rsidRPr="005F0F2B">
              <w:t>ommittee</w:t>
            </w:r>
            <w:r w:rsidRPr="00F05608">
              <w:t xml:space="preserve"> to convene further meetings to discuss particular issues on which they want the </w:t>
            </w:r>
            <w:r w:rsidR="008113CF">
              <w:t>Sub</w:t>
            </w:r>
            <w:r w:rsidR="00237FFC">
              <w:t>c</w:t>
            </w:r>
            <w:r w:rsidR="008113CF">
              <w:t>ommittee</w:t>
            </w:r>
            <w:r w:rsidRPr="00F05608">
              <w:t xml:space="preserve">’s advice. </w:t>
            </w:r>
          </w:p>
        </w:tc>
      </w:tr>
      <w:tr w:rsidR="00650E47" w:rsidRPr="002D270B" w14:paraId="2A83FA63" w14:textId="77777777" w:rsidTr="00EB5E23">
        <w:tc>
          <w:tcPr>
            <w:tcW w:w="1956" w:type="dxa"/>
          </w:tcPr>
          <w:p w14:paraId="71ED4127" w14:textId="77777777" w:rsidR="00650E47" w:rsidRPr="002D270B" w:rsidRDefault="00650E47" w:rsidP="00D81CC4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Public vs closed</w:t>
            </w:r>
          </w:p>
        </w:tc>
        <w:tc>
          <w:tcPr>
            <w:tcW w:w="6980" w:type="dxa"/>
            <w:gridSpan w:val="2"/>
          </w:tcPr>
          <w:p w14:paraId="0DB93525" w14:textId="462ED7DF" w:rsidR="00F05608" w:rsidRPr="00F05608" w:rsidRDefault="00F05608" w:rsidP="00D81CC4">
            <w:pPr>
              <w:spacing w:before="120" w:after="120"/>
              <w:rPr>
                <w:sz w:val="22"/>
                <w:szCs w:val="22"/>
              </w:rPr>
            </w:pPr>
            <w:r w:rsidRPr="00F05608">
              <w:rPr>
                <w:sz w:val="22"/>
                <w:szCs w:val="22"/>
              </w:rPr>
              <w:t xml:space="preserve">The </w:t>
            </w:r>
            <w:r w:rsidR="008A1FB1" w:rsidRPr="005F0F2B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A1FB1" w:rsidRPr="005F0F2B">
              <w:rPr>
                <w:sz w:val="22"/>
                <w:szCs w:val="22"/>
              </w:rPr>
              <w:t>ommittee</w:t>
            </w:r>
            <w:r w:rsidRPr="00F05608">
              <w:rPr>
                <w:sz w:val="22"/>
                <w:szCs w:val="22"/>
              </w:rPr>
              <w:t xml:space="preserve"> will generally meet in private, however any aspects that may have a requirement for public visibility will be managed in a public facing meeting. </w:t>
            </w:r>
          </w:p>
          <w:p w14:paraId="68373F4A" w14:textId="0E1C72D0" w:rsidR="00650E47" w:rsidRPr="00F05608" w:rsidRDefault="00650E47" w:rsidP="00D81CC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F05608">
              <w:rPr>
                <w:color w:val="000000" w:themeColor="text1"/>
                <w:sz w:val="22"/>
                <w:szCs w:val="22"/>
              </w:rPr>
              <w:t xml:space="preserve">External Audit, Internal Audit and Local Counter Fraud representatives will have full and unrestricted rights of access to the </w:t>
            </w:r>
            <w:r w:rsidR="008113CF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113CF">
              <w:rPr>
                <w:sz w:val="22"/>
                <w:szCs w:val="22"/>
              </w:rPr>
              <w:t>ommittee</w:t>
            </w:r>
            <w:r w:rsidRPr="00F05608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06F93" w:rsidRPr="002D270B" w14:paraId="146EA00B" w14:textId="77777777" w:rsidTr="00EB5E23">
        <w:tc>
          <w:tcPr>
            <w:tcW w:w="1956" w:type="dxa"/>
          </w:tcPr>
          <w:p w14:paraId="36B20AF0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Virtual meetings and extra-ordinary meetings</w:t>
            </w:r>
          </w:p>
        </w:tc>
        <w:tc>
          <w:tcPr>
            <w:tcW w:w="6980" w:type="dxa"/>
            <w:gridSpan w:val="2"/>
          </w:tcPr>
          <w:p w14:paraId="675A7606" w14:textId="746D3F25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In accordance with the Standing Orders, the </w:t>
            </w:r>
            <w:r w:rsidR="008A1FB1" w:rsidRPr="005F0F2B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8A1FB1" w:rsidRPr="005F0F2B">
              <w:rPr>
                <w:sz w:val="22"/>
                <w:szCs w:val="22"/>
              </w:rPr>
              <w:t>ommittee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 may meet virtually when necessary and members attending using electronic means will be counted towards the quorum.</w:t>
            </w:r>
          </w:p>
        </w:tc>
      </w:tr>
    </w:tbl>
    <w:p w14:paraId="72FE93FE" w14:textId="77777777" w:rsidR="00E06F93" w:rsidRDefault="00E06F93" w:rsidP="00E06F93">
      <w:pPr>
        <w:rPr>
          <w:b/>
          <w:bCs/>
        </w:rPr>
      </w:pPr>
    </w:p>
    <w:p w14:paraId="2B807AD9" w14:textId="18BF6955" w:rsidR="00E06F93" w:rsidRPr="0089084B" w:rsidRDefault="00A83279" w:rsidP="00E06F93">
      <w:pPr>
        <w:pStyle w:val="Heading2"/>
        <w:keepNext w:val="0"/>
        <w:keepLines w:val="0"/>
        <w:widowControl w:val="0"/>
        <w:numPr>
          <w:ilvl w:val="1"/>
          <w:numId w:val="0"/>
        </w:numPr>
        <w:spacing w:before="240" w:after="120"/>
        <w:ind w:left="567" w:hanging="567"/>
        <w:rPr>
          <w:rFonts w:ascii="Arial" w:hAnsi="Arial" w:cs="Arial"/>
          <w:color w:val="auto"/>
        </w:rPr>
      </w:pPr>
      <w:bookmarkStart w:id="37" w:name="_Toc120720215"/>
      <w:bookmarkStart w:id="38" w:name="_Toc123192567"/>
      <w:bookmarkStart w:id="39" w:name="_Toc163657091"/>
      <w:r>
        <w:rPr>
          <w:rFonts w:ascii="Arial" w:hAnsi="Arial" w:cs="Arial"/>
          <w:color w:val="auto"/>
        </w:rPr>
        <w:t xml:space="preserve">5.3 </w:t>
      </w:r>
      <w:r w:rsidR="00E06F93" w:rsidRPr="0089084B">
        <w:rPr>
          <w:rFonts w:ascii="Arial" w:hAnsi="Arial" w:cs="Arial"/>
          <w:color w:val="auto"/>
        </w:rPr>
        <w:t>Procedures</w:t>
      </w:r>
      <w:bookmarkEnd w:id="37"/>
      <w:bookmarkEnd w:id="38"/>
      <w:bookmarkEnd w:id="39"/>
    </w:p>
    <w:tbl>
      <w:tblPr>
        <w:tblStyle w:val="TableGrid"/>
        <w:tblW w:w="8936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6980"/>
      </w:tblGrid>
      <w:tr w:rsidR="00E06F93" w:rsidRPr="002D270B" w14:paraId="52FEFA42" w14:textId="77777777" w:rsidTr="00EB5E23">
        <w:tc>
          <w:tcPr>
            <w:tcW w:w="1956" w:type="dxa"/>
            <w:shd w:val="clear" w:color="auto" w:fill="EEECE1" w:themeFill="background2"/>
            <w:vAlign w:val="center"/>
          </w:tcPr>
          <w:p w14:paraId="7AF5AF2B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Procedure</w:t>
            </w:r>
          </w:p>
        </w:tc>
        <w:tc>
          <w:tcPr>
            <w:tcW w:w="6980" w:type="dxa"/>
            <w:shd w:val="clear" w:color="auto" w:fill="EEECE1" w:themeFill="background2"/>
            <w:vAlign w:val="center"/>
          </w:tcPr>
          <w:p w14:paraId="3E4E0ABE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 xml:space="preserve">Description of rules and expectations: </w:t>
            </w:r>
          </w:p>
        </w:tc>
      </w:tr>
      <w:tr w:rsidR="00E06F93" w:rsidRPr="002D270B" w14:paraId="165BB4B2" w14:textId="77777777" w:rsidTr="00EB5E23">
        <w:tc>
          <w:tcPr>
            <w:tcW w:w="1956" w:type="dxa"/>
          </w:tcPr>
          <w:p w14:paraId="1AD38AA6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Agenda</w:t>
            </w:r>
          </w:p>
        </w:tc>
        <w:tc>
          <w:tcPr>
            <w:tcW w:w="6980" w:type="dxa"/>
          </w:tcPr>
          <w:p w14:paraId="407ABF85" w14:textId="7549DDC5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The </w:t>
            </w:r>
            <w:r w:rsidR="00237FFC">
              <w:rPr>
                <w:color w:val="000000" w:themeColor="text1"/>
                <w:sz w:val="22"/>
                <w:szCs w:val="22"/>
              </w:rPr>
              <w:t>C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hair is responsible for agreeing the agenda and ensuring matters discussed meet the objectives as set out in these </w:t>
            </w:r>
            <w:r>
              <w:rPr>
                <w:color w:val="000000" w:themeColor="text1"/>
                <w:sz w:val="22"/>
                <w:szCs w:val="22"/>
              </w:rPr>
              <w:t>terms of re</w:t>
            </w:r>
            <w:r w:rsidR="00C01CF0">
              <w:rPr>
                <w:color w:val="000000" w:themeColor="text1"/>
                <w:sz w:val="22"/>
                <w:szCs w:val="22"/>
              </w:rPr>
              <w:t>fe</w:t>
            </w:r>
            <w:r>
              <w:rPr>
                <w:color w:val="000000" w:themeColor="text1"/>
                <w:sz w:val="22"/>
                <w:szCs w:val="22"/>
              </w:rPr>
              <w:t>rence</w:t>
            </w:r>
            <w:r w:rsidRPr="002D270B">
              <w:rPr>
                <w:color w:val="000000" w:themeColor="text1"/>
                <w:sz w:val="22"/>
                <w:szCs w:val="22"/>
              </w:rPr>
              <w:t>.</w:t>
            </w:r>
          </w:p>
          <w:p w14:paraId="40123A84" w14:textId="77777777" w:rsidR="00E06F93" w:rsidRPr="002D270B" w:rsidRDefault="00E06F93" w:rsidP="002B7C5B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Members are expected to identify agenda items for consideration to the </w:t>
            </w:r>
            <w:r>
              <w:rPr>
                <w:color w:val="000000" w:themeColor="text1"/>
                <w:sz w:val="22"/>
                <w:szCs w:val="22"/>
              </w:rPr>
              <w:t>c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hair and any meeting papers using the prescribed format </w:t>
            </w:r>
            <w:r w:rsidRPr="00EA1C38">
              <w:rPr>
                <w:color w:val="000000" w:themeColor="text1"/>
                <w:sz w:val="22"/>
                <w:szCs w:val="22"/>
              </w:rPr>
              <w:t>at least 5 working days before the meeting.</w:t>
            </w:r>
          </w:p>
        </w:tc>
      </w:tr>
      <w:tr w:rsidR="00E06F93" w:rsidRPr="002D270B" w14:paraId="7CF2DCDA" w14:textId="77777777" w:rsidTr="00EB5E23">
        <w:tc>
          <w:tcPr>
            <w:tcW w:w="1956" w:type="dxa"/>
          </w:tcPr>
          <w:p w14:paraId="572FC2DD" w14:textId="77777777" w:rsidR="00E06F93" w:rsidRPr="002D270B" w:rsidRDefault="00E06F93" w:rsidP="002B7C5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t>Conflicts of interest</w:t>
            </w:r>
          </w:p>
        </w:tc>
        <w:tc>
          <w:tcPr>
            <w:tcW w:w="6980" w:type="dxa"/>
          </w:tcPr>
          <w:p w14:paraId="5E538CF2" w14:textId="6E871168" w:rsidR="00E06F93" w:rsidRPr="002D270B" w:rsidRDefault="00E06F93" w:rsidP="002B7C5B">
            <w:pPr>
              <w:rPr>
                <w:sz w:val="22"/>
                <w:szCs w:val="22"/>
              </w:rPr>
            </w:pPr>
            <w:r w:rsidRPr="002D270B">
              <w:rPr>
                <w:b/>
                <w:sz w:val="22"/>
                <w:szCs w:val="22"/>
              </w:rPr>
              <w:t>Declarations:</w:t>
            </w:r>
            <w:r w:rsidRPr="002D270B">
              <w:rPr>
                <w:sz w:val="22"/>
                <w:szCs w:val="22"/>
              </w:rPr>
              <w:t xml:space="preserve"> All members</w:t>
            </w:r>
            <w:r w:rsidR="00650E47">
              <w:rPr>
                <w:sz w:val="22"/>
                <w:szCs w:val="22"/>
              </w:rPr>
              <w:t xml:space="preserve"> </w:t>
            </w:r>
            <w:r w:rsidRPr="002D270B">
              <w:rPr>
                <w:sz w:val="22"/>
                <w:szCs w:val="22"/>
              </w:rPr>
              <w:t>and those in attendance must declare any actual</w:t>
            </w:r>
            <w:r>
              <w:rPr>
                <w:sz w:val="22"/>
                <w:szCs w:val="22"/>
              </w:rPr>
              <w:t>,</w:t>
            </w:r>
            <w:r w:rsidRPr="002D270B">
              <w:rPr>
                <w:sz w:val="22"/>
                <w:szCs w:val="22"/>
              </w:rPr>
              <w:t xml:space="preserve"> potential</w:t>
            </w:r>
            <w:r>
              <w:rPr>
                <w:sz w:val="22"/>
                <w:szCs w:val="22"/>
              </w:rPr>
              <w:t>, or perceived</w:t>
            </w:r>
            <w:r w:rsidRPr="002D270B">
              <w:rPr>
                <w:sz w:val="22"/>
                <w:szCs w:val="22"/>
              </w:rPr>
              <w:t xml:space="preserve"> conflicts of interest. This is recorded in the minutes.</w:t>
            </w:r>
          </w:p>
          <w:p w14:paraId="46531900" w14:textId="2DCDBCF0" w:rsidR="00E06F93" w:rsidRPr="002D270B" w:rsidRDefault="00E06F93" w:rsidP="002B7C5B">
            <w:pPr>
              <w:spacing w:before="120" w:after="120"/>
              <w:rPr>
                <w:sz w:val="22"/>
                <w:szCs w:val="22"/>
              </w:rPr>
            </w:pPr>
            <w:r w:rsidRPr="002D270B">
              <w:rPr>
                <w:b/>
                <w:sz w:val="22"/>
                <w:szCs w:val="22"/>
              </w:rPr>
              <w:t>Exclusions:</w:t>
            </w:r>
            <w:r w:rsidRPr="002D270B">
              <w:rPr>
                <w:sz w:val="22"/>
                <w:szCs w:val="22"/>
              </w:rPr>
              <w:t xml:space="preserve"> The </w:t>
            </w:r>
            <w:r w:rsidR="00DA0A6C" w:rsidRPr="005F0F2B">
              <w:rPr>
                <w:sz w:val="22"/>
                <w:szCs w:val="22"/>
              </w:rPr>
              <w:t>Sub</w:t>
            </w:r>
            <w:r w:rsidR="00237FFC">
              <w:rPr>
                <w:sz w:val="22"/>
                <w:szCs w:val="22"/>
              </w:rPr>
              <w:t>c</w:t>
            </w:r>
            <w:r w:rsidR="00DA0A6C" w:rsidRPr="005F0F2B">
              <w:rPr>
                <w:sz w:val="22"/>
                <w:szCs w:val="22"/>
              </w:rPr>
              <w:t>ommittee</w:t>
            </w:r>
            <w:r w:rsidRPr="002D270B">
              <w:rPr>
                <w:sz w:val="22"/>
                <w:szCs w:val="22"/>
              </w:rPr>
              <w:t xml:space="preserve"> will follow and apply the </w:t>
            </w:r>
            <w:r w:rsidRPr="00EA1C38">
              <w:rPr>
                <w:sz w:val="22"/>
                <w:szCs w:val="22"/>
              </w:rPr>
              <w:t>ICB’s</w:t>
            </w:r>
            <w:r w:rsidRPr="002D270B">
              <w:rPr>
                <w:sz w:val="22"/>
                <w:szCs w:val="22"/>
              </w:rPr>
              <w:t xml:space="preserve"> Standards of Business Conduct </w:t>
            </w:r>
            <w:r w:rsidR="00631650">
              <w:rPr>
                <w:sz w:val="22"/>
                <w:szCs w:val="22"/>
              </w:rPr>
              <w:t xml:space="preserve">and Declarations of Interest policy </w:t>
            </w:r>
            <w:r w:rsidRPr="002D270B">
              <w:rPr>
                <w:sz w:val="22"/>
                <w:szCs w:val="22"/>
              </w:rPr>
              <w:t xml:space="preserve">with regards to the management of conflicts of interest. This means that the </w:t>
            </w:r>
            <w:r>
              <w:rPr>
                <w:sz w:val="22"/>
                <w:szCs w:val="22"/>
              </w:rPr>
              <w:t>c</w:t>
            </w:r>
            <w:r w:rsidRPr="002D270B">
              <w:rPr>
                <w:sz w:val="22"/>
                <w:szCs w:val="22"/>
              </w:rPr>
              <w:t>hair will consider the exclusion of members and / or attendees from discussion and / or decision-making if individuals have a relevant material or perceived interest in a matter under consideration.</w:t>
            </w:r>
          </w:p>
        </w:tc>
      </w:tr>
      <w:tr w:rsidR="00E06F93" w:rsidRPr="002D270B" w14:paraId="69336CE0" w14:textId="77777777" w:rsidTr="00EB5E23">
        <w:tc>
          <w:tcPr>
            <w:tcW w:w="1956" w:type="dxa"/>
          </w:tcPr>
          <w:p w14:paraId="0C0F9ED2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Decision-making</w:t>
            </w:r>
          </w:p>
        </w:tc>
        <w:tc>
          <w:tcPr>
            <w:tcW w:w="6980" w:type="dxa"/>
          </w:tcPr>
          <w:p w14:paraId="4E4C8913" w14:textId="0F8569F5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color w:val="000000" w:themeColor="text1"/>
                <w:sz w:val="22"/>
                <w:szCs w:val="22"/>
              </w:rPr>
              <w:t>Decisions:</w:t>
            </w:r>
            <w:r w:rsidRPr="002D270B">
              <w:rPr>
                <w:color w:val="000000" w:themeColor="text1"/>
                <w:sz w:val="22"/>
                <w:szCs w:val="22"/>
              </w:rPr>
              <w:t>  Decisions are taken in accord</w:t>
            </w:r>
            <w:r>
              <w:rPr>
                <w:color w:val="000000" w:themeColor="text1"/>
                <w:sz w:val="22"/>
                <w:szCs w:val="22"/>
              </w:rPr>
              <w:t xml:space="preserve">ance 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with the </w:t>
            </w:r>
            <w:r w:rsidR="00631650">
              <w:rPr>
                <w:color w:val="000000" w:themeColor="text1"/>
                <w:sz w:val="22"/>
                <w:szCs w:val="22"/>
              </w:rPr>
              <w:t xml:space="preserve">Scheme of Reservation and Delegation, Financial Limits and Financial Delegations and 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Standing Orders and are arrived at by consensus. </w:t>
            </w:r>
          </w:p>
        </w:tc>
      </w:tr>
      <w:tr w:rsidR="00E06F93" w:rsidRPr="002D270B" w14:paraId="551B94E9" w14:textId="77777777" w:rsidTr="00EB5E23">
        <w:tc>
          <w:tcPr>
            <w:tcW w:w="1956" w:type="dxa"/>
          </w:tcPr>
          <w:p w14:paraId="74E4B872" w14:textId="77777777" w:rsidR="00E06F93" w:rsidRPr="002D270B" w:rsidRDefault="00E06F93" w:rsidP="002B7C5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lastRenderedPageBreak/>
              <w:t>Conduct</w:t>
            </w:r>
          </w:p>
        </w:tc>
        <w:tc>
          <w:tcPr>
            <w:tcW w:w="6980" w:type="dxa"/>
          </w:tcPr>
          <w:p w14:paraId="0584DCE9" w14:textId="48D60C18" w:rsidR="00E06F93" w:rsidRPr="002D270B" w:rsidRDefault="00E06F93" w:rsidP="002B7C5B">
            <w:pPr>
              <w:spacing w:before="120" w:after="120"/>
              <w:rPr>
                <w:b/>
                <w:sz w:val="22"/>
                <w:szCs w:val="22"/>
              </w:rPr>
            </w:pPr>
            <w:r w:rsidRPr="002D270B">
              <w:rPr>
                <w:sz w:val="22"/>
                <w:szCs w:val="22"/>
              </w:rPr>
              <w:t xml:space="preserve">The </w:t>
            </w:r>
            <w:r w:rsidR="00DA0A6C" w:rsidRPr="005F0F2B">
              <w:rPr>
                <w:sz w:val="22"/>
                <w:szCs w:val="22"/>
              </w:rPr>
              <w:t>Sub</w:t>
            </w:r>
            <w:r w:rsidR="00631650">
              <w:rPr>
                <w:sz w:val="22"/>
                <w:szCs w:val="22"/>
              </w:rPr>
              <w:t>c</w:t>
            </w:r>
            <w:r w:rsidR="00DA0A6C" w:rsidRPr="005F0F2B">
              <w:rPr>
                <w:sz w:val="22"/>
                <w:szCs w:val="22"/>
              </w:rPr>
              <w:t>ommittee</w:t>
            </w:r>
            <w:r w:rsidRPr="002D270B">
              <w:rPr>
                <w:sz w:val="22"/>
                <w:szCs w:val="22"/>
              </w:rPr>
              <w:t>’s conducts its business in accordance with relevant codes of conduct / good governance practice, including the Nolan principles of public life, the ICB Standards of Business Conduct Polic</w:t>
            </w:r>
            <w:r>
              <w:rPr>
                <w:sz w:val="22"/>
                <w:szCs w:val="22"/>
              </w:rPr>
              <w:t>y</w:t>
            </w:r>
            <w:r w:rsidR="00631650">
              <w:rPr>
                <w:sz w:val="22"/>
                <w:szCs w:val="22"/>
              </w:rPr>
              <w:t xml:space="preserve"> and Declarations of Interest policy</w:t>
            </w:r>
            <w:r w:rsidRPr="002D270B">
              <w:rPr>
                <w:sz w:val="22"/>
                <w:szCs w:val="22"/>
              </w:rPr>
              <w:t>, and other relevant policies / guidance on good and proper meeting conduct for NHS organisations</w:t>
            </w:r>
          </w:p>
        </w:tc>
      </w:tr>
    </w:tbl>
    <w:p w14:paraId="1E2C8650" w14:textId="77777777" w:rsidR="00E06F93" w:rsidRDefault="00E06F93" w:rsidP="00E06F93">
      <w:pPr>
        <w:ind w:left="567"/>
        <w:rPr>
          <w:b/>
          <w:bCs/>
        </w:rPr>
      </w:pPr>
    </w:p>
    <w:p w14:paraId="2A194368" w14:textId="77777777" w:rsidR="00E06F93" w:rsidRDefault="00E06F93" w:rsidP="00F963DF">
      <w:pPr>
        <w:rPr>
          <w:b/>
          <w:bCs/>
        </w:rPr>
      </w:pPr>
    </w:p>
    <w:p w14:paraId="263BB025" w14:textId="20E44868" w:rsidR="00E06F93" w:rsidRPr="002D270B" w:rsidRDefault="00E06F93" w:rsidP="00A83279">
      <w:pPr>
        <w:pStyle w:val="Heading1"/>
        <w:keepNext w:val="0"/>
        <w:keepLines w:val="0"/>
        <w:widowControl w:val="0"/>
        <w:numPr>
          <w:ilvl w:val="0"/>
          <w:numId w:val="48"/>
        </w:numPr>
        <w:spacing w:before="0" w:after="120"/>
        <w:ind w:left="284"/>
      </w:pPr>
      <w:bookmarkStart w:id="40" w:name="_Toc120720216"/>
      <w:bookmarkStart w:id="41" w:name="_Toc123192568"/>
      <w:bookmarkStart w:id="42" w:name="_Toc163657092"/>
      <w:r w:rsidRPr="002D270B">
        <w:t>Secretariat and administration</w:t>
      </w:r>
      <w:bookmarkEnd w:id="40"/>
      <w:bookmarkEnd w:id="41"/>
      <w:bookmarkEnd w:id="42"/>
      <w:r w:rsidRPr="002D270B">
        <w:t xml:space="preserve"> </w:t>
      </w:r>
    </w:p>
    <w:p w14:paraId="5AE13A3B" w14:textId="569AC471" w:rsidR="00E06F93" w:rsidRDefault="00E06F93" w:rsidP="00E06F93">
      <w:pPr>
        <w:pStyle w:val="Indentedparagraph"/>
        <w:rPr>
          <w:rFonts w:cs="Arial"/>
        </w:rPr>
      </w:pPr>
      <w:r w:rsidRPr="002D270B">
        <w:rPr>
          <w:rFonts w:cs="Arial"/>
        </w:rPr>
        <w:t xml:space="preserve">This section describes the functions of the secretariat whose role is to support the </w:t>
      </w:r>
      <w:r w:rsidR="00DA0A6C" w:rsidRPr="005F0F2B">
        <w:rPr>
          <w:rFonts w:cs="Arial"/>
        </w:rPr>
        <w:t>Sub</w:t>
      </w:r>
      <w:r w:rsidR="00631650">
        <w:rPr>
          <w:rFonts w:cs="Arial"/>
        </w:rPr>
        <w:t>c</w:t>
      </w:r>
      <w:r w:rsidR="00DA0A6C" w:rsidRPr="005F0F2B">
        <w:rPr>
          <w:rFonts w:cs="Arial"/>
        </w:rPr>
        <w:t>ommittee</w:t>
      </w:r>
      <w:r w:rsidRPr="002D270B">
        <w:rPr>
          <w:rFonts w:cs="Arial"/>
        </w:rPr>
        <w:t xml:space="preserve"> in the following ways:</w:t>
      </w:r>
    </w:p>
    <w:p w14:paraId="0D83CB85" w14:textId="77777777" w:rsidR="00E06F93" w:rsidRPr="002D270B" w:rsidRDefault="00E06F93" w:rsidP="00E06F93">
      <w:pPr>
        <w:pStyle w:val="Indentedparagraph"/>
        <w:rPr>
          <w:rFonts w:cs="Arial"/>
        </w:rPr>
      </w:pP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E06F93" w:rsidRPr="002D270B" w14:paraId="2FCB3246" w14:textId="77777777" w:rsidTr="00F963DF">
        <w:trPr>
          <w:tblHeader/>
        </w:trPr>
        <w:tc>
          <w:tcPr>
            <w:tcW w:w="2410" w:type="dxa"/>
            <w:shd w:val="clear" w:color="auto" w:fill="EEECE1" w:themeFill="background2"/>
          </w:tcPr>
          <w:p w14:paraId="142357E1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Functions</w:t>
            </w:r>
          </w:p>
        </w:tc>
        <w:tc>
          <w:tcPr>
            <w:tcW w:w="7088" w:type="dxa"/>
            <w:shd w:val="clear" w:color="auto" w:fill="EEECE1" w:themeFill="background2"/>
          </w:tcPr>
          <w:p w14:paraId="2AEF0CCF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E06F93" w:rsidRPr="002D270B" w14:paraId="2AA28B13" w14:textId="77777777" w:rsidTr="00F963DF">
        <w:tc>
          <w:tcPr>
            <w:tcW w:w="2410" w:type="dxa"/>
          </w:tcPr>
          <w:p w14:paraId="21546F70" w14:textId="77777777" w:rsidR="00E06F93" w:rsidRPr="002D270B" w:rsidRDefault="00E06F93" w:rsidP="002B7C5B">
            <w:pPr>
              <w:spacing w:before="120" w:after="12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Distribute papers</w:t>
            </w:r>
          </w:p>
        </w:tc>
        <w:tc>
          <w:tcPr>
            <w:tcW w:w="7088" w:type="dxa"/>
          </w:tcPr>
          <w:p w14:paraId="3F43E485" w14:textId="77777777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Prepare and distribute the agenda and papers in accordance with the Standing Orders following their agreement by the </w:t>
            </w:r>
            <w:r>
              <w:rPr>
                <w:color w:val="000000" w:themeColor="text1"/>
                <w:sz w:val="22"/>
                <w:szCs w:val="22"/>
              </w:rPr>
              <w:t>c</w:t>
            </w:r>
            <w:r w:rsidRPr="002D270B">
              <w:rPr>
                <w:color w:val="000000" w:themeColor="text1"/>
                <w:sz w:val="22"/>
                <w:szCs w:val="22"/>
              </w:rPr>
              <w:t>hair with the support of the relevant executive lead.</w:t>
            </w:r>
          </w:p>
        </w:tc>
      </w:tr>
      <w:tr w:rsidR="00E06F93" w:rsidRPr="002D270B" w14:paraId="5A5A1A26" w14:textId="77777777" w:rsidTr="00F963DF">
        <w:tc>
          <w:tcPr>
            <w:tcW w:w="2410" w:type="dxa"/>
          </w:tcPr>
          <w:p w14:paraId="38BE19B1" w14:textId="77777777" w:rsidR="00E06F93" w:rsidRPr="002D270B" w:rsidRDefault="00E06F93" w:rsidP="002B7C5B">
            <w:pPr>
              <w:spacing w:before="120" w:after="12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Monitor attendance</w:t>
            </w:r>
          </w:p>
        </w:tc>
        <w:tc>
          <w:tcPr>
            <w:tcW w:w="7088" w:type="dxa"/>
          </w:tcPr>
          <w:p w14:paraId="6FEC6135" w14:textId="0A6F0715" w:rsidR="00E06F93" w:rsidRPr="002D270B" w:rsidRDefault="00E06F93" w:rsidP="002B7C5B">
            <w:pPr>
              <w:spacing w:before="120" w:after="12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Monitor the attendance of those invited to each meeting and highlight to the </w:t>
            </w:r>
            <w:r w:rsidR="00631650">
              <w:rPr>
                <w:color w:val="000000" w:themeColor="text1"/>
                <w:sz w:val="22"/>
                <w:szCs w:val="22"/>
              </w:rPr>
              <w:t>C</w:t>
            </w:r>
            <w:r w:rsidRPr="002D270B">
              <w:rPr>
                <w:color w:val="000000" w:themeColor="text1"/>
                <w:sz w:val="22"/>
                <w:szCs w:val="22"/>
              </w:rPr>
              <w:t>hair those that are not meeting the minimum attendance requirements.</w:t>
            </w:r>
          </w:p>
        </w:tc>
      </w:tr>
      <w:tr w:rsidR="00E06F93" w:rsidRPr="002D270B" w14:paraId="56E1A4EF" w14:textId="77777777" w:rsidTr="00F963DF">
        <w:tc>
          <w:tcPr>
            <w:tcW w:w="2410" w:type="dxa"/>
          </w:tcPr>
          <w:p w14:paraId="4DAA1339" w14:textId="77777777" w:rsidR="00E06F93" w:rsidRPr="002D270B" w:rsidRDefault="00E06F93" w:rsidP="002B7C5B">
            <w:pPr>
              <w:spacing w:before="120" w:after="12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Maintain records</w:t>
            </w:r>
          </w:p>
        </w:tc>
        <w:tc>
          <w:tcPr>
            <w:tcW w:w="7088" w:type="dxa"/>
          </w:tcPr>
          <w:p w14:paraId="10B04F5F" w14:textId="6747A535" w:rsidR="00E06F93" w:rsidRPr="002D270B" w:rsidRDefault="00E06F93" w:rsidP="002B7C5B">
            <w:pPr>
              <w:spacing w:before="120" w:after="12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>Record conflicts of interest</w:t>
            </w:r>
            <w:r w:rsidR="00DA0A6C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06F93" w:rsidRPr="002D270B" w14:paraId="583237D0" w14:textId="77777777" w:rsidTr="00F963DF">
        <w:tc>
          <w:tcPr>
            <w:tcW w:w="2410" w:type="dxa"/>
          </w:tcPr>
          <w:p w14:paraId="29815239" w14:textId="77777777" w:rsidR="00E06F93" w:rsidRPr="002D270B" w:rsidRDefault="00E06F93" w:rsidP="002B7C5B">
            <w:pPr>
              <w:spacing w:before="120" w:after="12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Minute Taking</w:t>
            </w:r>
          </w:p>
        </w:tc>
        <w:tc>
          <w:tcPr>
            <w:tcW w:w="7088" w:type="dxa"/>
          </w:tcPr>
          <w:p w14:paraId="613C0FAD" w14:textId="606F76E9" w:rsidR="00E06F93" w:rsidRPr="002D270B" w:rsidRDefault="00E06F93" w:rsidP="002B7C5B">
            <w:pPr>
              <w:spacing w:before="120" w:after="12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Take good quality minutes and agree them with the </w:t>
            </w:r>
            <w:r w:rsidR="00631650">
              <w:rPr>
                <w:color w:val="000000" w:themeColor="text1"/>
                <w:sz w:val="22"/>
                <w:szCs w:val="22"/>
              </w:rPr>
              <w:t>C</w:t>
            </w:r>
            <w:r w:rsidRPr="002D270B">
              <w:rPr>
                <w:color w:val="000000" w:themeColor="text1"/>
                <w:sz w:val="22"/>
                <w:szCs w:val="22"/>
              </w:rPr>
              <w:t>hair. Keep a record of matters arising, action points and issues to be carried forward.</w:t>
            </w:r>
          </w:p>
        </w:tc>
      </w:tr>
      <w:tr w:rsidR="00E06F93" w:rsidRPr="002D270B" w14:paraId="3ED62F29" w14:textId="77777777" w:rsidTr="00F963DF">
        <w:tc>
          <w:tcPr>
            <w:tcW w:w="2410" w:type="dxa"/>
          </w:tcPr>
          <w:p w14:paraId="199409D8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Support for Chair &amp; Committee</w:t>
            </w:r>
          </w:p>
        </w:tc>
        <w:tc>
          <w:tcPr>
            <w:tcW w:w="7088" w:type="dxa"/>
          </w:tcPr>
          <w:p w14:paraId="5F4A70CB" w14:textId="1440E0CA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Support the </w:t>
            </w:r>
            <w:r w:rsidR="008A1FB1">
              <w:rPr>
                <w:color w:val="000000" w:themeColor="text1"/>
                <w:sz w:val="22"/>
                <w:szCs w:val="22"/>
              </w:rPr>
              <w:t>C</w:t>
            </w:r>
            <w:r w:rsidRPr="002D270B">
              <w:rPr>
                <w:color w:val="000000" w:themeColor="text1"/>
                <w:sz w:val="22"/>
                <w:szCs w:val="22"/>
              </w:rPr>
              <w:t>hair in preparing a</w:t>
            </w:r>
            <w:r w:rsidRPr="00765B57">
              <w:rPr>
                <w:color w:val="000000" w:themeColor="text1"/>
                <w:sz w:val="22"/>
                <w:szCs w:val="22"/>
              </w:rPr>
              <w:t xml:space="preserve">nd delivering reports to the </w:t>
            </w:r>
            <w:r>
              <w:rPr>
                <w:color w:val="000000" w:themeColor="text1"/>
                <w:sz w:val="22"/>
                <w:szCs w:val="22"/>
              </w:rPr>
              <w:t>p</w:t>
            </w:r>
            <w:r w:rsidRPr="00765B57">
              <w:rPr>
                <w:color w:val="000000" w:themeColor="text1"/>
                <w:sz w:val="22"/>
                <w:szCs w:val="22"/>
              </w:rPr>
              <w:t xml:space="preserve">arent </w:t>
            </w:r>
            <w:r>
              <w:rPr>
                <w:color w:val="000000" w:themeColor="text1"/>
                <w:sz w:val="22"/>
                <w:szCs w:val="22"/>
              </w:rPr>
              <w:t>c</w:t>
            </w:r>
            <w:r w:rsidRPr="00765B57">
              <w:rPr>
                <w:color w:val="000000" w:themeColor="text1"/>
                <w:sz w:val="22"/>
                <w:szCs w:val="22"/>
              </w:rPr>
              <w:t>ommittee.</w:t>
            </w:r>
          </w:p>
          <w:p w14:paraId="45D606F8" w14:textId="77777777" w:rsidR="00E06F93" w:rsidRPr="002D270B" w:rsidRDefault="00E06F93" w:rsidP="002B7C5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>Take forward action points between meetings and monitor progress against those actions.</w:t>
            </w:r>
          </w:p>
        </w:tc>
      </w:tr>
      <w:tr w:rsidR="00E06F93" w:rsidRPr="002D270B" w14:paraId="495455C4" w14:textId="77777777" w:rsidTr="00F963DF">
        <w:tc>
          <w:tcPr>
            <w:tcW w:w="2410" w:type="dxa"/>
          </w:tcPr>
          <w:p w14:paraId="39DC1448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b/>
                <w:bCs/>
                <w:color w:val="000000" w:themeColor="text1"/>
                <w:sz w:val="22"/>
                <w:szCs w:val="22"/>
              </w:rPr>
              <w:t>Provide updates</w:t>
            </w:r>
          </w:p>
        </w:tc>
        <w:tc>
          <w:tcPr>
            <w:tcW w:w="7088" w:type="dxa"/>
          </w:tcPr>
          <w:p w14:paraId="4B02E692" w14:textId="2060E7A2" w:rsidR="00E06F93" w:rsidRPr="002D270B" w:rsidRDefault="00E06F93" w:rsidP="002B7C5B">
            <w:pPr>
              <w:spacing w:before="120" w:after="12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2D270B">
              <w:rPr>
                <w:color w:val="000000" w:themeColor="text1"/>
                <w:sz w:val="22"/>
                <w:szCs w:val="22"/>
              </w:rPr>
              <w:t xml:space="preserve">Update the </w:t>
            </w:r>
            <w:r w:rsidR="00DA0A6C" w:rsidRPr="005F0F2B">
              <w:rPr>
                <w:sz w:val="22"/>
                <w:szCs w:val="22"/>
              </w:rPr>
              <w:t xml:space="preserve"> Sub</w:t>
            </w:r>
            <w:r w:rsidR="00631650">
              <w:rPr>
                <w:sz w:val="22"/>
                <w:szCs w:val="22"/>
              </w:rPr>
              <w:t>c</w:t>
            </w:r>
            <w:r w:rsidR="00DA0A6C" w:rsidRPr="005F0F2B">
              <w:rPr>
                <w:sz w:val="22"/>
                <w:szCs w:val="22"/>
              </w:rPr>
              <w:t>ommittee</w:t>
            </w:r>
            <w:r w:rsidRPr="002D270B">
              <w:rPr>
                <w:color w:val="000000" w:themeColor="text1"/>
                <w:sz w:val="22"/>
                <w:szCs w:val="22"/>
              </w:rPr>
              <w:t xml:space="preserve"> on pertinent issues/ areas of interest/ policy developments.</w:t>
            </w:r>
          </w:p>
        </w:tc>
      </w:tr>
      <w:tr w:rsidR="00E06F93" w:rsidRPr="002D270B" w14:paraId="727B52DE" w14:textId="77777777" w:rsidTr="00F963DF">
        <w:tc>
          <w:tcPr>
            <w:tcW w:w="2410" w:type="dxa"/>
          </w:tcPr>
          <w:p w14:paraId="436B1B2B" w14:textId="77777777" w:rsidR="00E06F93" w:rsidRPr="002D270B" w:rsidRDefault="00E06F93" w:rsidP="002B7C5B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D270B">
              <w:rPr>
                <w:b/>
                <w:bCs/>
                <w:sz w:val="22"/>
                <w:szCs w:val="22"/>
              </w:rPr>
              <w:t>Governance advice</w:t>
            </w:r>
          </w:p>
        </w:tc>
        <w:tc>
          <w:tcPr>
            <w:tcW w:w="7088" w:type="dxa"/>
          </w:tcPr>
          <w:p w14:paraId="7EFE07B9" w14:textId="40A2EB06" w:rsidR="00E06F93" w:rsidRPr="002D270B" w:rsidRDefault="00E06F93" w:rsidP="002B7C5B">
            <w:pPr>
              <w:spacing w:before="120" w:after="120"/>
              <w:ind w:right="-112"/>
              <w:rPr>
                <w:sz w:val="22"/>
                <w:szCs w:val="22"/>
              </w:rPr>
            </w:pPr>
            <w:r w:rsidRPr="002D270B">
              <w:rPr>
                <w:sz w:val="22"/>
                <w:szCs w:val="22"/>
              </w:rPr>
              <w:t xml:space="preserve">Provide easy access to governance advice for </w:t>
            </w:r>
            <w:r w:rsidR="008A1FB1" w:rsidRPr="005F0F2B">
              <w:rPr>
                <w:sz w:val="22"/>
                <w:szCs w:val="22"/>
              </w:rPr>
              <w:t>Sub</w:t>
            </w:r>
            <w:r w:rsidR="00631650">
              <w:rPr>
                <w:sz w:val="22"/>
                <w:szCs w:val="22"/>
              </w:rPr>
              <w:t>c</w:t>
            </w:r>
            <w:r w:rsidR="008A1FB1" w:rsidRPr="005F0F2B">
              <w:rPr>
                <w:sz w:val="22"/>
                <w:szCs w:val="22"/>
              </w:rPr>
              <w:t>ommittee</w:t>
            </w:r>
            <w:r w:rsidR="008A1FB1" w:rsidRPr="002D270B">
              <w:rPr>
                <w:sz w:val="22"/>
                <w:szCs w:val="22"/>
              </w:rPr>
              <w:t xml:space="preserve"> </w:t>
            </w:r>
            <w:r w:rsidRPr="002D270B">
              <w:rPr>
                <w:sz w:val="22"/>
                <w:szCs w:val="22"/>
              </w:rPr>
              <w:t>members</w:t>
            </w:r>
          </w:p>
        </w:tc>
      </w:tr>
    </w:tbl>
    <w:p w14:paraId="00B8C0D8" w14:textId="77777777" w:rsidR="008A1FB1" w:rsidRDefault="008A1FB1" w:rsidP="00E06F93">
      <w:pPr>
        <w:rPr>
          <w:b/>
          <w:bCs/>
        </w:rPr>
      </w:pPr>
    </w:p>
    <w:p w14:paraId="6C44DE17" w14:textId="77777777" w:rsidR="008A1FB1" w:rsidRDefault="008A1FB1" w:rsidP="00E06F93">
      <w:pPr>
        <w:rPr>
          <w:b/>
          <w:bCs/>
        </w:rPr>
      </w:pPr>
    </w:p>
    <w:p w14:paraId="2B1DF0A9" w14:textId="77777777" w:rsidR="00E06F93" w:rsidRPr="002D270B" w:rsidRDefault="00E06F93" w:rsidP="00E06F93">
      <w:pPr>
        <w:pStyle w:val="Heading1"/>
        <w:keepNext w:val="0"/>
        <w:keepLines w:val="0"/>
        <w:widowControl w:val="0"/>
        <w:spacing w:before="0" w:after="120"/>
        <w:ind w:left="567" w:hanging="567"/>
      </w:pPr>
      <w:bookmarkStart w:id="43" w:name="_Toc120720217"/>
      <w:bookmarkStart w:id="44" w:name="_Toc123192569"/>
      <w:bookmarkStart w:id="45" w:name="_Toc163657093"/>
      <w:r w:rsidRPr="002D270B">
        <w:t xml:space="preserve">Appendix </w:t>
      </w:r>
      <w:r>
        <w:t>1</w:t>
      </w:r>
      <w:r w:rsidRPr="002D270B">
        <w:t xml:space="preserve">: </w:t>
      </w:r>
      <w:r>
        <w:t>Approval</w:t>
      </w:r>
      <w:r w:rsidRPr="002D270B">
        <w:t xml:space="preserve"> History</w:t>
      </w:r>
      <w:bookmarkEnd w:id="43"/>
      <w:bookmarkEnd w:id="44"/>
      <w:bookmarkEnd w:id="45"/>
    </w:p>
    <w:p w14:paraId="36A63DEA" w14:textId="77777777" w:rsidR="00E06F93" w:rsidRPr="002D270B" w:rsidRDefault="00E06F93" w:rsidP="00E06F93"/>
    <w:tbl>
      <w:tblPr>
        <w:tblStyle w:val="TableGrid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3260"/>
        <w:gridCol w:w="3085"/>
      </w:tblGrid>
      <w:tr w:rsidR="004724ED" w:rsidRPr="002D270B" w14:paraId="761D228A" w14:textId="77777777" w:rsidTr="00412089">
        <w:trPr>
          <w:trHeight w:val="463"/>
        </w:trPr>
        <w:tc>
          <w:tcPr>
            <w:tcW w:w="1276" w:type="dxa"/>
            <w:shd w:val="clear" w:color="auto" w:fill="EEECE1" w:themeFill="background2"/>
            <w:vAlign w:val="center"/>
          </w:tcPr>
          <w:p w14:paraId="22A20E87" w14:textId="77777777" w:rsidR="004724ED" w:rsidRPr="002D270B" w:rsidRDefault="004724ED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 w:rsidRPr="002D270B">
              <w:rPr>
                <w:b/>
                <w:bCs/>
                <w:color w:val="000000" w:themeColor="text1"/>
                <w:sz w:val="22"/>
              </w:rPr>
              <w:t>Version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E1426B0" w14:textId="77777777" w:rsidR="004724ED" w:rsidRPr="002D270B" w:rsidRDefault="004724ED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 w:rsidRPr="002D270B">
              <w:rPr>
                <w:b/>
                <w:bCs/>
                <w:color w:val="000000" w:themeColor="text1"/>
                <w:sz w:val="22"/>
              </w:rPr>
              <w:t>Date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14:paraId="261CF904" w14:textId="77777777" w:rsidR="004724ED" w:rsidRPr="002D270B" w:rsidRDefault="004724ED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 w:rsidRPr="002D270B">
              <w:rPr>
                <w:b/>
                <w:bCs/>
                <w:color w:val="000000" w:themeColor="text1"/>
                <w:sz w:val="22"/>
              </w:rPr>
              <w:t>Approved by</w:t>
            </w:r>
          </w:p>
        </w:tc>
        <w:tc>
          <w:tcPr>
            <w:tcW w:w="3085" w:type="dxa"/>
            <w:shd w:val="clear" w:color="auto" w:fill="EEECE1" w:themeFill="background2"/>
          </w:tcPr>
          <w:p w14:paraId="05A716AA" w14:textId="77777777" w:rsidR="004724ED" w:rsidRPr="002D270B" w:rsidRDefault="004724ED" w:rsidP="002B7C5B">
            <w:pPr>
              <w:spacing w:before="120" w:after="120"/>
              <w:ind w:right="-2374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       Status</w:t>
            </w:r>
          </w:p>
        </w:tc>
      </w:tr>
      <w:tr w:rsidR="004724ED" w:rsidRPr="002D270B" w14:paraId="75D39DEC" w14:textId="77777777" w:rsidTr="00412089">
        <w:trPr>
          <w:trHeight w:val="594"/>
        </w:trPr>
        <w:tc>
          <w:tcPr>
            <w:tcW w:w="1276" w:type="dxa"/>
          </w:tcPr>
          <w:p w14:paraId="56C2FD78" w14:textId="77777777" w:rsidR="004724ED" w:rsidRPr="00412089" w:rsidRDefault="004724ED" w:rsidP="002B7C5B">
            <w:pPr>
              <w:spacing w:before="120" w:after="120"/>
              <w:rPr>
                <w:color w:val="000000" w:themeColor="text1"/>
                <w:sz w:val="22"/>
              </w:rPr>
            </w:pPr>
            <w:r w:rsidRPr="00412089">
              <w:rPr>
                <w:color w:val="000000" w:themeColor="text1"/>
                <w:sz w:val="22"/>
              </w:rPr>
              <w:t>V1.0</w:t>
            </w:r>
          </w:p>
        </w:tc>
        <w:tc>
          <w:tcPr>
            <w:tcW w:w="1843" w:type="dxa"/>
          </w:tcPr>
          <w:p w14:paraId="1182CFD2" w14:textId="18F31907" w:rsidR="004724ED" w:rsidRPr="00412089" w:rsidRDefault="00412089" w:rsidP="002B7C5B">
            <w:pPr>
              <w:spacing w:before="120" w:after="12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12/03/2024</w:t>
            </w:r>
          </w:p>
        </w:tc>
        <w:tc>
          <w:tcPr>
            <w:tcW w:w="3260" w:type="dxa"/>
          </w:tcPr>
          <w:p w14:paraId="626B5BFE" w14:textId="258C3FBA" w:rsidR="004724ED" w:rsidRPr="00412089" w:rsidRDefault="00C95C38" w:rsidP="002B7C5B">
            <w:pPr>
              <w:spacing w:before="120" w:after="120"/>
              <w:rPr>
                <w:color w:val="000000" w:themeColor="text1"/>
                <w:sz w:val="22"/>
              </w:rPr>
            </w:pPr>
            <w:r w:rsidRPr="00412089">
              <w:rPr>
                <w:color w:val="000000" w:themeColor="text1"/>
                <w:sz w:val="22"/>
              </w:rPr>
              <w:t>Executive Committee</w:t>
            </w:r>
          </w:p>
        </w:tc>
        <w:tc>
          <w:tcPr>
            <w:tcW w:w="3085" w:type="dxa"/>
          </w:tcPr>
          <w:p w14:paraId="79275ACF" w14:textId="77777777" w:rsidR="004724ED" w:rsidRPr="00412089" w:rsidRDefault="004724ED" w:rsidP="002B7C5B">
            <w:pPr>
              <w:spacing w:before="120" w:after="120"/>
              <w:rPr>
                <w:color w:val="000000" w:themeColor="text1"/>
                <w:sz w:val="22"/>
              </w:rPr>
            </w:pPr>
            <w:r w:rsidRPr="00412089">
              <w:rPr>
                <w:color w:val="000000" w:themeColor="text1"/>
                <w:sz w:val="22"/>
              </w:rPr>
              <w:t xml:space="preserve">First Issue </w:t>
            </w:r>
          </w:p>
        </w:tc>
      </w:tr>
      <w:tr w:rsidR="004724ED" w:rsidRPr="002D270B" w14:paraId="667E8710" w14:textId="77777777" w:rsidTr="00412089">
        <w:trPr>
          <w:trHeight w:val="594"/>
        </w:trPr>
        <w:tc>
          <w:tcPr>
            <w:tcW w:w="1276" w:type="dxa"/>
          </w:tcPr>
          <w:p w14:paraId="525E6822" w14:textId="3D73D9FF" w:rsidR="004724ED" w:rsidRPr="002D270B" w:rsidRDefault="00B95DF5" w:rsidP="002B7C5B">
            <w:pPr>
              <w:spacing w:before="120" w:after="12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>V2.0</w:t>
            </w:r>
          </w:p>
        </w:tc>
        <w:tc>
          <w:tcPr>
            <w:tcW w:w="1843" w:type="dxa"/>
          </w:tcPr>
          <w:p w14:paraId="0ACDD4DE" w14:textId="300CD05D" w:rsidR="004724ED" w:rsidRPr="002D270B" w:rsidRDefault="00F07A30" w:rsidP="002B7C5B">
            <w:pPr>
              <w:spacing w:before="120" w:after="12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23</w:t>
            </w:r>
            <w:r w:rsidR="00B95DF5">
              <w:rPr>
                <w:color w:val="000000" w:themeColor="text1"/>
                <w:sz w:val="22"/>
              </w:rPr>
              <w:t>/07/24</w:t>
            </w:r>
          </w:p>
        </w:tc>
        <w:tc>
          <w:tcPr>
            <w:tcW w:w="3260" w:type="dxa"/>
          </w:tcPr>
          <w:p w14:paraId="156C0D6F" w14:textId="77777777" w:rsidR="004724ED" w:rsidRPr="002D270B" w:rsidRDefault="004724ED" w:rsidP="002B7C5B">
            <w:pPr>
              <w:spacing w:before="120" w:after="120"/>
              <w:rPr>
                <w:color w:val="000000" w:themeColor="text1"/>
                <w:sz w:val="22"/>
              </w:rPr>
            </w:pPr>
          </w:p>
        </w:tc>
        <w:tc>
          <w:tcPr>
            <w:tcW w:w="3085" w:type="dxa"/>
          </w:tcPr>
          <w:p w14:paraId="1E2AAEBF" w14:textId="0DECFF61" w:rsidR="004724ED" w:rsidRPr="002D270B" w:rsidRDefault="00B95DF5" w:rsidP="002B7C5B">
            <w:pPr>
              <w:spacing w:before="120" w:after="12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Second Issue</w:t>
            </w:r>
          </w:p>
        </w:tc>
      </w:tr>
    </w:tbl>
    <w:p w14:paraId="73CC1F08" w14:textId="77777777" w:rsidR="00DA0A6C" w:rsidRDefault="00DA0A6C" w:rsidP="00E06F93"/>
    <w:p w14:paraId="3638C444" w14:textId="77777777" w:rsidR="00E06F93" w:rsidRPr="002D270B" w:rsidRDefault="00E06F93" w:rsidP="00E06F93">
      <w:pPr>
        <w:pStyle w:val="Heading1"/>
        <w:keepNext w:val="0"/>
        <w:keepLines w:val="0"/>
        <w:widowControl w:val="0"/>
        <w:spacing w:before="0" w:after="120"/>
        <w:ind w:left="567" w:hanging="567"/>
      </w:pPr>
      <w:bookmarkStart w:id="46" w:name="_Toc163657094"/>
      <w:r w:rsidRPr="002D270B">
        <w:t xml:space="preserve">Appendix </w:t>
      </w:r>
      <w:r>
        <w:t>2</w:t>
      </w:r>
      <w:r w:rsidRPr="002D270B">
        <w:t>: Revi</w:t>
      </w:r>
      <w:r>
        <w:t>ew</w:t>
      </w:r>
      <w:r w:rsidRPr="002D270B">
        <w:t xml:space="preserve"> History</w:t>
      </w:r>
      <w:bookmarkEnd w:id="46"/>
    </w:p>
    <w:p w14:paraId="3ACE352D" w14:textId="77777777" w:rsidR="00E06F93" w:rsidRPr="002D270B" w:rsidRDefault="00E06F93" w:rsidP="00E06F93"/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8"/>
        <w:gridCol w:w="1673"/>
        <w:gridCol w:w="1951"/>
        <w:gridCol w:w="3861"/>
      </w:tblGrid>
      <w:tr w:rsidR="00E06F93" w:rsidRPr="002D270B" w14:paraId="1EA41449" w14:textId="77777777" w:rsidTr="004724ED">
        <w:trPr>
          <w:trHeight w:val="463"/>
        </w:trPr>
        <w:tc>
          <w:tcPr>
            <w:tcW w:w="1134" w:type="dxa"/>
            <w:shd w:val="clear" w:color="auto" w:fill="EEECE1" w:themeFill="background2"/>
            <w:vAlign w:val="center"/>
          </w:tcPr>
          <w:p w14:paraId="13DADC56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 w:rsidRPr="002D270B">
              <w:rPr>
                <w:b/>
                <w:bCs/>
                <w:color w:val="000000" w:themeColor="text1"/>
                <w:sz w:val="22"/>
              </w:rPr>
              <w:t>Version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4E4392AD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 w:rsidRPr="002D270B">
              <w:rPr>
                <w:b/>
                <w:bCs/>
                <w:color w:val="000000" w:themeColor="text1"/>
                <w:sz w:val="22"/>
              </w:rPr>
              <w:t>Date</w:t>
            </w:r>
          </w:p>
        </w:tc>
        <w:tc>
          <w:tcPr>
            <w:tcW w:w="1701" w:type="dxa"/>
            <w:gridSpan w:val="2"/>
            <w:shd w:val="clear" w:color="auto" w:fill="EEECE1" w:themeFill="background2"/>
            <w:vAlign w:val="center"/>
          </w:tcPr>
          <w:p w14:paraId="115EE2F9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Reviewed</w:t>
            </w:r>
            <w:r w:rsidRPr="002D270B">
              <w:rPr>
                <w:b/>
                <w:bCs/>
                <w:color w:val="000000" w:themeColor="text1"/>
                <w:sz w:val="22"/>
              </w:rPr>
              <w:t xml:space="preserve"> by</w:t>
            </w:r>
          </w:p>
        </w:tc>
        <w:tc>
          <w:tcPr>
            <w:tcW w:w="1951" w:type="dxa"/>
            <w:shd w:val="clear" w:color="auto" w:fill="EEECE1" w:themeFill="background2"/>
          </w:tcPr>
          <w:p w14:paraId="0036220F" w14:textId="77777777" w:rsidR="00E06F93" w:rsidRPr="002D270B" w:rsidRDefault="00E06F93" w:rsidP="002B7C5B">
            <w:pPr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Changes Required Y/N?</w:t>
            </w:r>
          </w:p>
        </w:tc>
        <w:tc>
          <w:tcPr>
            <w:tcW w:w="3861" w:type="dxa"/>
            <w:shd w:val="clear" w:color="auto" w:fill="EEECE1" w:themeFill="background2"/>
          </w:tcPr>
          <w:p w14:paraId="37C54462" w14:textId="77777777" w:rsidR="00E06F93" w:rsidRDefault="00E06F93" w:rsidP="002B7C5B">
            <w:pPr>
              <w:spacing w:before="120" w:after="120"/>
              <w:ind w:right="-2374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Summary</w:t>
            </w:r>
            <w:r w:rsidRPr="002D270B">
              <w:rPr>
                <w:b/>
                <w:bCs/>
                <w:color w:val="000000" w:themeColor="text1"/>
                <w:sz w:val="22"/>
              </w:rPr>
              <w:t xml:space="preserve"> of changes</w:t>
            </w:r>
          </w:p>
          <w:p w14:paraId="25DD4084" w14:textId="77777777" w:rsidR="00E06F93" w:rsidRDefault="00E06F93" w:rsidP="002B7C5B">
            <w:pPr>
              <w:spacing w:before="120" w:after="120"/>
              <w:ind w:right="-2374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(once changes are approved</w:t>
            </w:r>
          </w:p>
          <w:p w14:paraId="3400D2CF" w14:textId="77777777" w:rsidR="00E06F93" w:rsidRPr="002D270B" w:rsidRDefault="00E06F93" w:rsidP="002B7C5B">
            <w:pPr>
              <w:spacing w:before="120" w:after="120"/>
              <w:ind w:right="-2374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 Appendix 1 should be updated)</w:t>
            </w:r>
          </w:p>
        </w:tc>
      </w:tr>
      <w:tr w:rsidR="00E06F93" w:rsidRPr="002D270B" w14:paraId="27F13F70" w14:textId="77777777" w:rsidTr="004724ED">
        <w:trPr>
          <w:trHeight w:val="594"/>
        </w:trPr>
        <w:tc>
          <w:tcPr>
            <w:tcW w:w="1134" w:type="dxa"/>
          </w:tcPr>
          <w:p w14:paraId="17AAFA21" w14:textId="6A45FEAA" w:rsidR="00E06F93" w:rsidRPr="00F07A30" w:rsidRDefault="00B95DF5" w:rsidP="002B7C5B">
            <w:pPr>
              <w:spacing w:before="120" w:after="120"/>
              <w:rPr>
                <w:color w:val="000000" w:themeColor="text1"/>
                <w:sz w:val="22"/>
              </w:rPr>
            </w:pPr>
            <w:r w:rsidRPr="00F07A30">
              <w:rPr>
                <w:color w:val="000000" w:themeColor="text1"/>
                <w:sz w:val="22"/>
              </w:rPr>
              <w:t>V2.0</w:t>
            </w:r>
          </w:p>
        </w:tc>
        <w:tc>
          <w:tcPr>
            <w:tcW w:w="879" w:type="dxa"/>
            <w:gridSpan w:val="2"/>
          </w:tcPr>
          <w:p w14:paraId="154A9404" w14:textId="4E14A28B" w:rsidR="00E06F93" w:rsidRPr="00F07A30" w:rsidRDefault="00F07A30" w:rsidP="002B7C5B">
            <w:pPr>
              <w:spacing w:before="120" w:after="12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TBC</w:t>
            </w:r>
          </w:p>
        </w:tc>
        <w:tc>
          <w:tcPr>
            <w:tcW w:w="1673" w:type="dxa"/>
          </w:tcPr>
          <w:p w14:paraId="691D10A1" w14:textId="1B941BE4" w:rsidR="00E06F93" w:rsidRPr="00F07A30" w:rsidRDefault="00B95DF5" w:rsidP="002B7C5B">
            <w:pPr>
              <w:spacing w:before="120" w:after="120"/>
              <w:rPr>
                <w:color w:val="000000" w:themeColor="text1"/>
                <w:sz w:val="22"/>
              </w:rPr>
            </w:pPr>
            <w:r w:rsidRPr="00F07A30">
              <w:rPr>
                <w:color w:val="000000" w:themeColor="text1"/>
                <w:sz w:val="22"/>
              </w:rPr>
              <w:t>People &amp; OD Subcommittee</w:t>
            </w:r>
          </w:p>
        </w:tc>
        <w:tc>
          <w:tcPr>
            <w:tcW w:w="1951" w:type="dxa"/>
          </w:tcPr>
          <w:p w14:paraId="1B13CCA7" w14:textId="131855AE" w:rsidR="00E06F93" w:rsidRPr="00F07A30" w:rsidRDefault="00B95DF5" w:rsidP="002B7C5B">
            <w:pPr>
              <w:spacing w:before="120" w:after="120"/>
              <w:rPr>
                <w:color w:val="000000" w:themeColor="text1"/>
                <w:sz w:val="22"/>
              </w:rPr>
            </w:pPr>
            <w:r w:rsidRPr="00F07A30">
              <w:rPr>
                <w:color w:val="000000" w:themeColor="text1"/>
                <w:sz w:val="22"/>
              </w:rPr>
              <w:t>Y</w:t>
            </w:r>
          </w:p>
        </w:tc>
        <w:tc>
          <w:tcPr>
            <w:tcW w:w="3861" w:type="dxa"/>
          </w:tcPr>
          <w:p w14:paraId="619EE62D" w14:textId="698D5052" w:rsidR="00E06F93" w:rsidRPr="00F07A30" w:rsidRDefault="00B95DF5" w:rsidP="002B7C5B">
            <w:pPr>
              <w:spacing w:before="120" w:after="120"/>
              <w:rPr>
                <w:color w:val="000000" w:themeColor="text1"/>
                <w:sz w:val="22"/>
              </w:rPr>
            </w:pPr>
            <w:r w:rsidRPr="00F07A30">
              <w:rPr>
                <w:color w:val="000000" w:themeColor="text1"/>
                <w:sz w:val="22"/>
              </w:rPr>
              <w:t>Membership reduced at the request of Executive Committee.</w:t>
            </w:r>
          </w:p>
        </w:tc>
      </w:tr>
    </w:tbl>
    <w:p w14:paraId="632CEC9D" w14:textId="77777777" w:rsidR="00E06F93" w:rsidRPr="002D270B" w:rsidRDefault="00E06F93" w:rsidP="00E06F93"/>
    <w:p w14:paraId="4D7E25F1" w14:textId="77777777" w:rsidR="00E06F93" w:rsidRPr="002D270B" w:rsidRDefault="00E06F93" w:rsidP="00E06F93"/>
    <w:p w14:paraId="7B826ADC" w14:textId="68EBAE07" w:rsidR="00E06F93" w:rsidRPr="002D270B" w:rsidRDefault="00E06F93" w:rsidP="00E06F93">
      <w:pPr>
        <w:rPr>
          <w:color w:val="000000" w:themeColor="text1"/>
          <w:sz w:val="22"/>
          <w:szCs w:val="22"/>
        </w:rPr>
      </w:pPr>
      <w:r w:rsidRPr="002D270B">
        <w:rPr>
          <w:b/>
          <w:bCs/>
          <w:color w:val="000000" w:themeColor="text1"/>
          <w:sz w:val="22"/>
          <w:szCs w:val="22"/>
        </w:rPr>
        <w:t>Review date:</w:t>
      </w:r>
      <w:r w:rsidRPr="002D270B">
        <w:rPr>
          <w:color w:val="000000" w:themeColor="text1"/>
          <w:sz w:val="22"/>
          <w:szCs w:val="22"/>
        </w:rPr>
        <w:t xml:space="preserve"> </w:t>
      </w:r>
      <w:r w:rsidR="00DA0A6C">
        <w:rPr>
          <w:color w:val="000000" w:themeColor="text1"/>
          <w:sz w:val="22"/>
          <w:szCs w:val="22"/>
        </w:rPr>
        <w:t>March 2025</w:t>
      </w:r>
    </w:p>
    <w:p w14:paraId="554A71BB" w14:textId="0BCDBDC3" w:rsidR="00E06F93" w:rsidRDefault="00E06F93" w:rsidP="00E06F93">
      <w:pPr>
        <w:rPr>
          <w:color w:val="000000" w:themeColor="text1"/>
          <w:sz w:val="22"/>
          <w:szCs w:val="22"/>
        </w:rPr>
      </w:pPr>
      <w:r w:rsidRPr="002D270B">
        <w:rPr>
          <w:b/>
          <w:bCs/>
          <w:color w:val="000000" w:themeColor="text1"/>
          <w:sz w:val="22"/>
          <w:szCs w:val="22"/>
        </w:rPr>
        <w:t>Contact</w:t>
      </w:r>
      <w:r w:rsidRPr="00412089">
        <w:rPr>
          <w:color w:val="000000" w:themeColor="text1"/>
          <w:sz w:val="22"/>
          <w:szCs w:val="22"/>
        </w:rPr>
        <w:t>:</w:t>
      </w:r>
      <w:r w:rsidR="00DA0A6C" w:rsidRPr="00412089">
        <w:rPr>
          <w:color w:val="000000" w:themeColor="text1"/>
          <w:sz w:val="22"/>
          <w:szCs w:val="22"/>
        </w:rPr>
        <w:t xml:space="preserve"> </w:t>
      </w:r>
      <w:r w:rsidR="00412089" w:rsidRPr="00412089">
        <w:rPr>
          <w:color w:val="000000" w:themeColor="text1"/>
          <w:sz w:val="22"/>
          <w:szCs w:val="22"/>
        </w:rPr>
        <w:t>ICB Corporate</w:t>
      </w:r>
      <w:r w:rsidR="00412089">
        <w:rPr>
          <w:b/>
          <w:bCs/>
          <w:color w:val="000000" w:themeColor="text1"/>
          <w:sz w:val="22"/>
          <w:szCs w:val="22"/>
        </w:rPr>
        <w:t xml:space="preserve"> </w:t>
      </w:r>
      <w:r w:rsidR="00DA0A6C">
        <w:rPr>
          <w:color w:val="000000" w:themeColor="text1"/>
          <w:sz w:val="22"/>
          <w:szCs w:val="22"/>
        </w:rPr>
        <w:t>Governance Team</w:t>
      </w:r>
    </w:p>
    <w:p w14:paraId="23F9FDDC" w14:textId="77777777" w:rsidR="00E06F93" w:rsidRDefault="00E06F93" w:rsidP="00E06F93">
      <w:pPr>
        <w:rPr>
          <w:color w:val="000000" w:themeColor="text1"/>
          <w:sz w:val="22"/>
          <w:szCs w:val="22"/>
        </w:rPr>
      </w:pPr>
    </w:p>
    <w:p w14:paraId="488C9C1D" w14:textId="77777777" w:rsidR="00E06F93" w:rsidRPr="00D70E4C" w:rsidRDefault="00E06F93" w:rsidP="00E06F93">
      <w:pPr>
        <w:rPr>
          <w:color w:val="000000" w:themeColor="text1"/>
          <w:sz w:val="22"/>
          <w:szCs w:val="22"/>
        </w:rPr>
      </w:pPr>
      <w:r w:rsidRPr="002D270B">
        <w:rPr>
          <w:b/>
          <w:bCs/>
        </w:rPr>
        <w:t>Document control</w:t>
      </w:r>
    </w:p>
    <w:p w14:paraId="554DF168" w14:textId="77777777" w:rsidR="00E06F93" w:rsidRDefault="00E06F93" w:rsidP="00E06F93">
      <w:r w:rsidRPr="002D270B">
        <w:t xml:space="preserve">The controlled copy of this document is maintained by </w:t>
      </w:r>
      <w:r w:rsidRPr="00007637">
        <w:t xml:space="preserve">the </w:t>
      </w:r>
      <w:r>
        <w:t>g</w:t>
      </w:r>
      <w:r w:rsidRPr="00007637">
        <w:t xml:space="preserve">overnance </w:t>
      </w:r>
      <w:r>
        <w:t>t</w:t>
      </w:r>
      <w:r w:rsidRPr="00007637">
        <w:t>eam in the Governance Handbook, here</w:t>
      </w:r>
      <w:r>
        <w:t xml:space="preserve"> </w:t>
      </w:r>
      <w:hyperlink r:id="rId14" w:history="1">
        <w:r w:rsidRPr="00B63027">
          <w:rPr>
            <w:rStyle w:val="Hyperlink"/>
          </w:rPr>
          <w:t>https://northeastnorthcumbria.nhs.uk/about-us/corporate-information/governance/</w:t>
        </w:r>
      </w:hyperlink>
    </w:p>
    <w:p w14:paraId="2A32F9B3" w14:textId="77777777" w:rsidR="00E06F93" w:rsidRDefault="00E06F93" w:rsidP="00E06F93"/>
    <w:p w14:paraId="00A2167B" w14:textId="77777777" w:rsidR="00E06F93" w:rsidRDefault="00E06F93" w:rsidP="00E06F93">
      <w:r w:rsidRPr="002D270B">
        <w:t>Any copies of this document held outside of th</w:t>
      </w:r>
      <w:r>
        <w:t>e Governance Handbook</w:t>
      </w:r>
      <w:r w:rsidRPr="002D270B">
        <w:t>, in whatever format (e.g., paper, email attachment), are considered to have passed out of control and should be checked for currency and validity.</w:t>
      </w:r>
    </w:p>
    <w:p w14:paraId="654526FA" w14:textId="2D44C7B3" w:rsidR="00E06F93" w:rsidRDefault="00E06F93" w:rsidP="00E06F93">
      <w:pPr>
        <w:spacing w:after="200" w:line="276" w:lineRule="auto"/>
      </w:pPr>
    </w:p>
    <w:sectPr w:rsidR="00E06F93" w:rsidSect="00521F0D"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819D" w14:textId="77777777" w:rsidR="00253480" w:rsidRDefault="00253480" w:rsidP="00491684">
      <w:r>
        <w:separator/>
      </w:r>
    </w:p>
  </w:endnote>
  <w:endnote w:type="continuationSeparator" w:id="0">
    <w:p w14:paraId="066450E9" w14:textId="77777777" w:rsidR="00253480" w:rsidRDefault="00253480" w:rsidP="0049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33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A5982" w14:textId="77777777" w:rsidR="0080678A" w:rsidRDefault="00BF383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FC91C38" w14:textId="77777777" w:rsidR="0080678A" w:rsidRDefault="00750701" w:rsidP="0080678A">
        <w:pPr>
          <w:pStyle w:val="Footer"/>
          <w:jc w:val="center"/>
          <w:rPr>
            <w:noProof/>
          </w:rPr>
        </w:pPr>
      </w:p>
    </w:sdtContent>
  </w:sdt>
  <w:p w14:paraId="3ABD3174" w14:textId="1E46C4B9" w:rsidR="0080678A" w:rsidRPr="0080678A" w:rsidRDefault="00F963DF" w:rsidP="0080678A">
    <w:pPr>
      <w:pStyle w:val="Footer"/>
      <w:rPr>
        <w:noProof/>
      </w:rPr>
    </w:pPr>
    <w:r>
      <w:rPr>
        <w:sz w:val="18"/>
        <w:szCs w:val="18"/>
      </w:rPr>
      <w:t xml:space="preserve">People &amp; OD </w:t>
    </w:r>
    <w:r w:rsidR="00C95C38">
      <w:rPr>
        <w:sz w:val="18"/>
        <w:szCs w:val="18"/>
      </w:rPr>
      <w:t>Subcommittee</w:t>
    </w:r>
    <w:r w:rsidR="0080678A" w:rsidRPr="0080678A">
      <w:rPr>
        <w:sz w:val="18"/>
        <w:szCs w:val="18"/>
      </w:rPr>
      <w:t xml:space="preserve"> Terms of Refer</w:t>
    </w:r>
    <w:r w:rsidR="0080678A" w:rsidRPr="00CF5476">
      <w:rPr>
        <w:sz w:val="18"/>
        <w:szCs w:val="18"/>
      </w:rPr>
      <w:t xml:space="preserve">ence </w:t>
    </w:r>
    <w:r w:rsidR="00412089">
      <w:rPr>
        <w:sz w:val="18"/>
        <w:szCs w:val="18"/>
      </w:rPr>
      <w:t>V</w:t>
    </w:r>
    <w:r w:rsidR="007C6A7E">
      <w:rPr>
        <w:sz w:val="18"/>
        <w:szCs w:val="18"/>
      </w:rPr>
      <w:t>2</w:t>
    </w:r>
    <w:r w:rsidR="00412089">
      <w:rPr>
        <w:sz w:val="18"/>
        <w:szCs w:val="18"/>
      </w:rPr>
      <w:t>-</w:t>
    </w:r>
    <w:r>
      <w:rPr>
        <w:sz w:val="18"/>
        <w:szCs w:val="18"/>
      </w:rPr>
      <w:t>0</w:t>
    </w:r>
  </w:p>
  <w:p w14:paraId="28D6D520" w14:textId="77777777" w:rsidR="00BF383B" w:rsidRDefault="00BF383B">
    <w:pPr>
      <w:pStyle w:val="Footer"/>
    </w:pPr>
  </w:p>
  <w:p w14:paraId="1E5C309C" w14:textId="77777777" w:rsidR="000104D4" w:rsidRDefault="000104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22EE" w14:textId="77777777" w:rsidR="00253480" w:rsidRDefault="00253480" w:rsidP="00491684">
      <w:r>
        <w:separator/>
      </w:r>
    </w:p>
  </w:footnote>
  <w:footnote w:type="continuationSeparator" w:id="0">
    <w:p w14:paraId="3459134A" w14:textId="77777777" w:rsidR="00253480" w:rsidRDefault="00253480" w:rsidP="0049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BAB"/>
    <w:multiLevelType w:val="hybridMultilevel"/>
    <w:tmpl w:val="9D16047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612"/>
    <w:multiLevelType w:val="hybridMultilevel"/>
    <w:tmpl w:val="07886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558F"/>
    <w:multiLevelType w:val="multilevel"/>
    <w:tmpl w:val="3F9EF3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42B29"/>
    <w:multiLevelType w:val="hybridMultilevel"/>
    <w:tmpl w:val="17F683CC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0C1E09D5"/>
    <w:multiLevelType w:val="hybridMultilevel"/>
    <w:tmpl w:val="F02ED408"/>
    <w:lvl w:ilvl="0" w:tplc="C25CE7BA">
      <w:start w:val="1"/>
      <w:numFmt w:val="bullet"/>
      <w:pStyle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DB6992"/>
    <w:multiLevelType w:val="hybridMultilevel"/>
    <w:tmpl w:val="BA828EEA"/>
    <w:lvl w:ilvl="0" w:tplc="C45A23E4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5E7750C"/>
    <w:multiLevelType w:val="multilevel"/>
    <w:tmpl w:val="46FC9F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A593C"/>
    <w:multiLevelType w:val="multilevel"/>
    <w:tmpl w:val="1BDC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A097D"/>
    <w:multiLevelType w:val="hybridMultilevel"/>
    <w:tmpl w:val="5538D9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72785D"/>
    <w:multiLevelType w:val="hybridMultilevel"/>
    <w:tmpl w:val="D44A9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2E34CA"/>
    <w:multiLevelType w:val="hybridMultilevel"/>
    <w:tmpl w:val="AC40C5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5C00B8"/>
    <w:multiLevelType w:val="multilevel"/>
    <w:tmpl w:val="5F14F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97EB1"/>
    <w:multiLevelType w:val="hybridMultilevel"/>
    <w:tmpl w:val="65500DA8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11196"/>
    <w:multiLevelType w:val="multilevel"/>
    <w:tmpl w:val="C34254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5B47CC"/>
    <w:multiLevelType w:val="multilevel"/>
    <w:tmpl w:val="3762F1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6543C5"/>
    <w:multiLevelType w:val="multilevel"/>
    <w:tmpl w:val="3362BD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45F8B"/>
    <w:multiLevelType w:val="hybridMultilevel"/>
    <w:tmpl w:val="29341B80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B7D2A"/>
    <w:multiLevelType w:val="hybridMultilevel"/>
    <w:tmpl w:val="1CAEAA94"/>
    <w:lvl w:ilvl="0" w:tplc="08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8" w15:restartNumberingAfterBreak="0">
    <w:nsid w:val="2CA15CD7"/>
    <w:multiLevelType w:val="hybridMultilevel"/>
    <w:tmpl w:val="4F886E9C"/>
    <w:lvl w:ilvl="0" w:tplc="D54AFD2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41D13"/>
    <w:multiLevelType w:val="multilevel"/>
    <w:tmpl w:val="5010D420"/>
    <w:lvl w:ilvl="0">
      <w:start w:val="1"/>
      <w:numFmt w:val="decimal"/>
      <w:pStyle w:val="Mainitem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item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item3plain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65526E5"/>
    <w:multiLevelType w:val="multilevel"/>
    <w:tmpl w:val="91804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B83BFE"/>
    <w:multiLevelType w:val="multilevel"/>
    <w:tmpl w:val="86AAB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E31751"/>
    <w:multiLevelType w:val="hybridMultilevel"/>
    <w:tmpl w:val="58C4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53CE2"/>
    <w:multiLevelType w:val="hybridMultilevel"/>
    <w:tmpl w:val="EFBED270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F6D7D"/>
    <w:multiLevelType w:val="hybridMultilevel"/>
    <w:tmpl w:val="A3CEA880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D5C49"/>
    <w:multiLevelType w:val="hybridMultilevel"/>
    <w:tmpl w:val="B6B48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AE37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96B57"/>
    <w:multiLevelType w:val="multilevel"/>
    <w:tmpl w:val="568CD3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8B0502"/>
    <w:multiLevelType w:val="hybridMultilevel"/>
    <w:tmpl w:val="BD284004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D4C74"/>
    <w:multiLevelType w:val="multilevel"/>
    <w:tmpl w:val="3E8CD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29" w15:restartNumberingAfterBreak="0">
    <w:nsid w:val="4E960C0D"/>
    <w:multiLevelType w:val="hybridMultilevel"/>
    <w:tmpl w:val="14742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A2243"/>
    <w:multiLevelType w:val="multilevel"/>
    <w:tmpl w:val="F0D49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461FEE"/>
    <w:multiLevelType w:val="hybridMultilevel"/>
    <w:tmpl w:val="37845146"/>
    <w:lvl w:ilvl="0" w:tplc="C45A23E4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2" w15:restartNumberingAfterBreak="0">
    <w:nsid w:val="55F54EF7"/>
    <w:multiLevelType w:val="multilevel"/>
    <w:tmpl w:val="2438E2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71437D"/>
    <w:multiLevelType w:val="hybridMultilevel"/>
    <w:tmpl w:val="C88AF4AE"/>
    <w:lvl w:ilvl="0" w:tplc="08090013">
      <w:start w:val="1"/>
      <w:numFmt w:val="upperRoman"/>
      <w:lvlText w:val="%1."/>
      <w:lvlJc w:val="right"/>
      <w:pPr>
        <w:ind w:left="16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34" w15:restartNumberingAfterBreak="0">
    <w:nsid w:val="611A671A"/>
    <w:multiLevelType w:val="multilevel"/>
    <w:tmpl w:val="223A6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2B07E3"/>
    <w:multiLevelType w:val="hybridMultilevel"/>
    <w:tmpl w:val="5E80CB9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2564E0F"/>
    <w:multiLevelType w:val="hybridMultilevel"/>
    <w:tmpl w:val="922E9A54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67011"/>
    <w:multiLevelType w:val="hybridMultilevel"/>
    <w:tmpl w:val="297A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10053"/>
    <w:multiLevelType w:val="hybridMultilevel"/>
    <w:tmpl w:val="38FC63B6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A3F69"/>
    <w:multiLevelType w:val="hybridMultilevel"/>
    <w:tmpl w:val="DFA6A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801EB"/>
    <w:multiLevelType w:val="hybridMultilevel"/>
    <w:tmpl w:val="5F9C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7252F2"/>
    <w:multiLevelType w:val="hybridMultilevel"/>
    <w:tmpl w:val="A6A48BC0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6714A"/>
    <w:multiLevelType w:val="hybridMultilevel"/>
    <w:tmpl w:val="E180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44740"/>
    <w:multiLevelType w:val="hybridMultilevel"/>
    <w:tmpl w:val="2090A482"/>
    <w:lvl w:ilvl="0" w:tplc="C128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5537D"/>
    <w:multiLevelType w:val="multilevel"/>
    <w:tmpl w:val="67E8C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772CF"/>
    <w:multiLevelType w:val="hybridMultilevel"/>
    <w:tmpl w:val="79646C68"/>
    <w:lvl w:ilvl="0" w:tplc="C45A2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06C4C"/>
    <w:multiLevelType w:val="multilevel"/>
    <w:tmpl w:val="626AF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4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60" w:hanging="2160"/>
      </w:pPr>
      <w:rPr>
        <w:rFonts w:hint="default"/>
        <w:b w:val="0"/>
      </w:rPr>
    </w:lvl>
  </w:abstractNum>
  <w:num w:numId="1" w16cid:durableId="2095544235">
    <w:abstractNumId w:val="19"/>
  </w:num>
  <w:num w:numId="2" w16cid:durableId="785588469">
    <w:abstractNumId w:val="29"/>
  </w:num>
  <w:num w:numId="3" w16cid:durableId="1652447507">
    <w:abstractNumId w:val="42"/>
  </w:num>
  <w:num w:numId="4" w16cid:durableId="782724693">
    <w:abstractNumId w:val="25"/>
  </w:num>
  <w:num w:numId="5" w16cid:durableId="2029986043">
    <w:abstractNumId w:val="43"/>
  </w:num>
  <w:num w:numId="6" w16cid:durableId="1615022015">
    <w:abstractNumId w:val="24"/>
  </w:num>
  <w:num w:numId="7" w16cid:durableId="401757183">
    <w:abstractNumId w:val="27"/>
  </w:num>
  <w:num w:numId="8" w16cid:durableId="1645239076">
    <w:abstractNumId w:val="16"/>
  </w:num>
  <w:num w:numId="9" w16cid:durableId="1452437004">
    <w:abstractNumId w:val="23"/>
  </w:num>
  <w:num w:numId="10" w16cid:durableId="1397044591">
    <w:abstractNumId w:val="36"/>
  </w:num>
  <w:num w:numId="11" w16cid:durableId="898712631">
    <w:abstractNumId w:val="31"/>
  </w:num>
  <w:num w:numId="12" w16cid:durableId="1021853863">
    <w:abstractNumId w:val="38"/>
  </w:num>
  <w:num w:numId="13" w16cid:durableId="438138316">
    <w:abstractNumId w:val="5"/>
  </w:num>
  <w:num w:numId="14" w16cid:durableId="1294866750">
    <w:abstractNumId w:val="12"/>
  </w:num>
  <w:num w:numId="15" w16cid:durableId="1205943266">
    <w:abstractNumId w:val="41"/>
  </w:num>
  <w:num w:numId="16" w16cid:durableId="1625497345">
    <w:abstractNumId w:val="45"/>
  </w:num>
  <w:num w:numId="17" w16cid:durableId="771902717">
    <w:abstractNumId w:val="46"/>
  </w:num>
  <w:num w:numId="18" w16cid:durableId="674769433">
    <w:abstractNumId w:val="39"/>
  </w:num>
  <w:num w:numId="19" w16cid:durableId="1739749260">
    <w:abstractNumId w:val="30"/>
  </w:num>
  <w:num w:numId="20" w16cid:durableId="179124134">
    <w:abstractNumId w:val="28"/>
  </w:num>
  <w:num w:numId="21" w16cid:durableId="1218397927">
    <w:abstractNumId w:val="35"/>
  </w:num>
  <w:num w:numId="22" w16cid:durableId="1451238728">
    <w:abstractNumId w:val="4"/>
  </w:num>
  <w:num w:numId="23" w16cid:durableId="1627656307">
    <w:abstractNumId w:val="22"/>
  </w:num>
  <w:num w:numId="24" w16cid:durableId="915624493">
    <w:abstractNumId w:val="18"/>
  </w:num>
  <w:num w:numId="25" w16cid:durableId="400762022">
    <w:abstractNumId w:val="10"/>
  </w:num>
  <w:num w:numId="26" w16cid:durableId="135034608">
    <w:abstractNumId w:val="8"/>
  </w:num>
  <w:num w:numId="27" w16cid:durableId="1627157444">
    <w:abstractNumId w:val="9"/>
  </w:num>
  <w:num w:numId="28" w16cid:durableId="1363819146">
    <w:abstractNumId w:val="37"/>
  </w:num>
  <w:num w:numId="29" w16cid:durableId="349844877">
    <w:abstractNumId w:val="3"/>
  </w:num>
  <w:num w:numId="30" w16cid:durableId="163474935">
    <w:abstractNumId w:val="33"/>
  </w:num>
  <w:num w:numId="31" w16cid:durableId="1119181324">
    <w:abstractNumId w:val="17"/>
  </w:num>
  <w:num w:numId="32" w16cid:durableId="2059475391">
    <w:abstractNumId w:val="37"/>
  </w:num>
  <w:num w:numId="33" w16cid:durableId="744038121">
    <w:abstractNumId w:val="0"/>
  </w:num>
  <w:num w:numId="34" w16cid:durableId="720636880">
    <w:abstractNumId w:val="40"/>
  </w:num>
  <w:num w:numId="35" w16cid:durableId="953949646">
    <w:abstractNumId w:val="7"/>
  </w:num>
  <w:num w:numId="36" w16cid:durableId="775634184">
    <w:abstractNumId w:val="11"/>
  </w:num>
  <w:num w:numId="37" w16cid:durableId="439952106">
    <w:abstractNumId w:val="20"/>
  </w:num>
  <w:num w:numId="38" w16cid:durableId="391320079">
    <w:abstractNumId w:val="44"/>
  </w:num>
  <w:num w:numId="39" w16cid:durableId="256446308">
    <w:abstractNumId w:val="14"/>
  </w:num>
  <w:num w:numId="40" w16cid:durableId="273483441">
    <w:abstractNumId w:val="21"/>
  </w:num>
  <w:num w:numId="41" w16cid:durableId="1385368267">
    <w:abstractNumId w:val="26"/>
  </w:num>
  <w:num w:numId="42" w16cid:durableId="1280796007">
    <w:abstractNumId w:val="2"/>
  </w:num>
  <w:num w:numId="43" w16cid:durableId="1965035811">
    <w:abstractNumId w:val="34"/>
  </w:num>
  <w:num w:numId="44" w16cid:durableId="230390279">
    <w:abstractNumId w:val="15"/>
  </w:num>
  <w:num w:numId="45" w16cid:durableId="839469274">
    <w:abstractNumId w:val="6"/>
  </w:num>
  <w:num w:numId="46" w16cid:durableId="534390217">
    <w:abstractNumId w:val="32"/>
  </w:num>
  <w:num w:numId="47" w16cid:durableId="1069620334">
    <w:abstractNumId w:val="13"/>
  </w:num>
  <w:num w:numId="48" w16cid:durableId="160225381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84"/>
    <w:rsid w:val="00007285"/>
    <w:rsid w:val="00007637"/>
    <w:rsid w:val="000104D4"/>
    <w:rsid w:val="00020645"/>
    <w:rsid w:val="00041B94"/>
    <w:rsid w:val="00056487"/>
    <w:rsid w:val="00066210"/>
    <w:rsid w:val="00071E75"/>
    <w:rsid w:val="00082EFD"/>
    <w:rsid w:val="0008465A"/>
    <w:rsid w:val="000915E2"/>
    <w:rsid w:val="00097144"/>
    <w:rsid w:val="000A602F"/>
    <w:rsid w:val="000B37E0"/>
    <w:rsid w:val="000F5594"/>
    <w:rsid w:val="00113CAF"/>
    <w:rsid w:val="00120C5A"/>
    <w:rsid w:val="00130173"/>
    <w:rsid w:val="0014207E"/>
    <w:rsid w:val="00145D10"/>
    <w:rsid w:val="00157F40"/>
    <w:rsid w:val="00162879"/>
    <w:rsid w:val="001716F1"/>
    <w:rsid w:val="00171A35"/>
    <w:rsid w:val="001A0644"/>
    <w:rsid w:val="001A1645"/>
    <w:rsid w:val="001A533C"/>
    <w:rsid w:val="001B41B3"/>
    <w:rsid w:val="001B7CCD"/>
    <w:rsid w:val="001C6ADB"/>
    <w:rsid w:val="001D5800"/>
    <w:rsid w:val="001E1A4E"/>
    <w:rsid w:val="001F00DC"/>
    <w:rsid w:val="001F332F"/>
    <w:rsid w:val="001F77C6"/>
    <w:rsid w:val="0021377B"/>
    <w:rsid w:val="0022019F"/>
    <w:rsid w:val="00222862"/>
    <w:rsid w:val="00237FFC"/>
    <w:rsid w:val="00253480"/>
    <w:rsid w:val="00265374"/>
    <w:rsid w:val="002713F0"/>
    <w:rsid w:val="00274EAB"/>
    <w:rsid w:val="002829CF"/>
    <w:rsid w:val="00284338"/>
    <w:rsid w:val="00294288"/>
    <w:rsid w:val="00294FB1"/>
    <w:rsid w:val="002B16A4"/>
    <w:rsid w:val="002B4C3F"/>
    <w:rsid w:val="002B6956"/>
    <w:rsid w:val="002B6C9E"/>
    <w:rsid w:val="002C39EC"/>
    <w:rsid w:val="002C5128"/>
    <w:rsid w:val="002C7FDE"/>
    <w:rsid w:val="002D034F"/>
    <w:rsid w:val="002E3234"/>
    <w:rsid w:val="002F43CA"/>
    <w:rsid w:val="002F71D9"/>
    <w:rsid w:val="00306758"/>
    <w:rsid w:val="00315FC0"/>
    <w:rsid w:val="003221C3"/>
    <w:rsid w:val="0032522A"/>
    <w:rsid w:val="00342B29"/>
    <w:rsid w:val="00365989"/>
    <w:rsid w:val="0037011A"/>
    <w:rsid w:val="00375353"/>
    <w:rsid w:val="0037660A"/>
    <w:rsid w:val="00382AFE"/>
    <w:rsid w:val="0038449B"/>
    <w:rsid w:val="00386F26"/>
    <w:rsid w:val="00391C87"/>
    <w:rsid w:val="00397C7C"/>
    <w:rsid w:val="003A4478"/>
    <w:rsid w:val="003C64FF"/>
    <w:rsid w:val="003D7B5C"/>
    <w:rsid w:val="003E2FAB"/>
    <w:rsid w:val="003E314F"/>
    <w:rsid w:val="003F1635"/>
    <w:rsid w:val="003F4CFB"/>
    <w:rsid w:val="00406312"/>
    <w:rsid w:val="00412089"/>
    <w:rsid w:val="004173AE"/>
    <w:rsid w:val="00422BBB"/>
    <w:rsid w:val="00423EB3"/>
    <w:rsid w:val="0043152A"/>
    <w:rsid w:val="00431B9F"/>
    <w:rsid w:val="00435038"/>
    <w:rsid w:val="00456213"/>
    <w:rsid w:val="004630AD"/>
    <w:rsid w:val="004640AF"/>
    <w:rsid w:val="00470730"/>
    <w:rsid w:val="004724ED"/>
    <w:rsid w:val="004834BE"/>
    <w:rsid w:val="00491684"/>
    <w:rsid w:val="00496ED6"/>
    <w:rsid w:val="004A466F"/>
    <w:rsid w:val="004B4920"/>
    <w:rsid w:val="004C52BF"/>
    <w:rsid w:val="004E2AC9"/>
    <w:rsid w:val="004E333F"/>
    <w:rsid w:val="004F51B7"/>
    <w:rsid w:val="00510576"/>
    <w:rsid w:val="00521F0D"/>
    <w:rsid w:val="00526451"/>
    <w:rsid w:val="00527B11"/>
    <w:rsid w:val="00532F6E"/>
    <w:rsid w:val="00545855"/>
    <w:rsid w:val="00550E31"/>
    <w:rsid w:val="00554274"/>
    <w:rsid w:val="005611BE"/>
    <w:rsid w:val="00561206"/>
    <w:rsid w:val="00571BCF"/>
    <w:rsid w:val="00581251"/>
    <w:rsid w:val="00592C45"/>
    <w:rsid w:val="005A4D43"/>
    <w:rsid w:val="005C26F7"/>
    <w:rsid w:val="005E2FB6"/>
    <w:rsid w:val="005E3370"/>
    <w:rsid w:val="005F0F2B"/>
    <w:rsid w:val="006035A2"/>
    <w:rsid w:val="00607FEA"/>
    <w:rsid w:val="0061070A"/>
    <w:rsid w:val="00631650"/>
    <w:rsid w:val="0063168D"/>
    <w:rsid w:val="006322F4"/>
    <w:rsid w:val="00650E47"/>
    <w:rsid w:val="0067588A"/>
    <w:rsid w:val="00683649"/>
    <w:rsid w:val="00687A84"/>
    <w:rsid w:val="00693E5E"/>
    <w:rsid w:val="006945FD"/>
    <w:rsid w:val="006A243D"/>
    <w:rsid w:val="006B3C63"/>
    <w:rsid w:val="006B54A7"/>
    <w:rsid w:val="006B5AE8"/>
    <w:rsid w:val="006C4F64"/>
    <w:rsid w:val="006D2833"/>
    <w:rsid w:val="006E21D3"/>
    <w:rsid w:val="006E2F3B"/>
    <w:rsid w:val="006E6630"/>
    <w:rsid w:val="00710AA5"/>
    <w:rsid w:val="00724EC9"/>
    <w:rsid w:val="00726A19"/>
    <w:rsid w:val="007471D3"/>
    <w:rsid w:val="007478B2"/>
    <w:rsid w:val="00747F2E"/>
    <w:rsid w:val="00750701"/>
    <w:rsid w:val="00764DED"/>
    <w:rsid w:val="00765B57"/>
    <w:rsid w:val="007661DD"/>
    <w:rsid w:val="00770C4C"/>
    <w:rsid w:val="0078304F"/>
    <w:rsid w:val="0078355E"/>
    <w:rsid w:val="00783C8B"/>
    <w:rsid w:val="00787260"/>
    <w:rsid w:val="00797F90"/>
    <w:rsid w:val="007A3C20"/>
    <w:rsid w:val="007B7FF5"/>
    <w:rsid w:val="007C63C7"/>
    <w:rsid w:val="007C6958"/>
    <w:rsid w:val="007C6A7E"/>
    <w:rsid w:val="007D6FEB"/>
    <w:rsid w:val="007D70D3"/>
    <w:rsid w:val="007E6B9A"/>
    <w:rsid w:val="007F0CB8"/>
    <w:rsid w:val="007F3856"/>
    <w:rsid w:val="00802A94"/>
    <w:rsid w:val="008046E0"/>
    <w:rsid w:val="0080678A"/>
    <w:rsid w:val="008113CF"/>
    <w:rsid w:val="00813238"/>
    <w:rsid w:val="00833172"/>
    <w:rsid w:val="00833FAA"/>
    <w:rsid w:val="00841087"/>
    <w:rsid w:val="008907D4"/>
    <w:rsid w:val="0089084B"/>
    <w:rsid w:val="008916FB"/>
    <w:rsid w:val="008922AF"/>
    <w:rsid w:val="008A162F"/>
    <w:rsid w:val="008A1631"/>
    <w:rsid w:val="008A1FB1"/>
    <w:rsid w:val="008A441A"/>
    <w:rsid w:val="008A5697"/>
    <w:rsid w:val="008B230C"/>
    <w:rsid w:val="008B53AC"/>
    <w:rsid w:val="008B6BC2"/>
    <w:rsid w:val="008B74FC"/>
    <w:rsid w:val="008C05C2"/>
    <w:rsid w:val="008D51DA"/>
    <w:rsid w:val="00923EA0"/>
    <w:rsid w:val="00925714"/>
    <w:rsid w:val="0093061C"/>
    <w:rsid w:val="0093635E"/>
    <w:rsid w:val="00940D15"/>
    <w:rsid w:val="0094391C"/>
    <w:rsid w:val="00951CBC"/>
    <w:rsid w:val="00955103"/>
    <w:rsid w:val="00963D11"/>
    <w:rsid w:val="00965359"/>
    <w:rsid w:val="00974932"/>
    <w:rsid w:val="00975C58"/>
    <w:rsid w:val="009841C6"/>
    <w:rsid w:val="009A7BF7"/>
    <w:rsid w:val="009A7C87"/>
    <w:rsid w:val="009B08D0"/>
    <w:rsid w:val="009C0FBB"/>
    <w:rsid w:val="009D094C"/>
    <w:rsid w:val="009D6F7B"/>
    <w:rsid w:val="009D7E88"/>
    <w:rsid w:val="009E2C07"/>
    <w:rsid w:val="009E5AED"/>
    <w:rsid w:val="009E68BC"/>
    <w:rsid w:val="009F58C7"/>
    <w:rsid w:val="009F6441"/>
    <w:rsid w:val="00A0118D"/>
    <w:rsid w:val="00A0305A"/>
    <w:rsid w:val="00A21E22"/>
    <w:rsid w:val="00A434AC"/>
    <w:rsid w:val="00A448B1"/>
    <w:rsid w:val="00A50014"/>
    <w:rsid w:val="00A53395"/>
    <w:rsid w:val="00A73D41"/>
    <w:rsid w:val="00A767A7"/>
    <w:rsid w:val="00A76809"/>
    <w:rsid w:val="00A76DB5"/>
    <w:rsid w:val="00A8219B"/>
    <w:rsid w:val="00A83279"/>
    <w:rsid w:val="00A83773"/>
    <w:rsid w:val="00A85E0A"/>
    <w:rsid w:val="00A903EF"/>
    <w:rsid w:val="00A94C8B"/>
    <w:rsid w:val="00AA4454"/>
    <w:rsid w:val="00AB09A6"/>
    <w:rsid w:val="00AB5E26"/>
    <w:rsid w:val="00AC5A19"/>
    <w:rsid w:val="00AE3DFD"/>
    <w:rsid w:val="00AF6167"/>
    <w:rsid w:val="00AF7C7F"/>
    <w:rsid w:val="00B02954"/>
    <w:rsid w:val="00B247D4"/>
    <w:rsid w:val="00B30FFC"/>
    <w:rsid w:val="00B42983"/>
    <w:rsid w:val="00B50E7E"/>
    <w:rsid w:val="00B53C74"/>
    <w:rsid w:val="00B64F26"/>
    <w:rsid w:val="00B64F32"/>
    <w:rsid w:val="00B77019"/>
    <w:rsid w:val="00B84B8D"/>
    <w:rsid w:val="00B95DF5"/>
    <w:rsid w:val="00B9776B"/>
    <w:rsid w:val="00BB0B13"/>
    <w:rsid w:val="00BB387E"/>
    <w:rsid w:val="00BC694F"/>
    <w:rsid w:val="00BD0597"/>
    <w:rsid w:val="00BE2E07"/>
    <w:rsid w:val="00BE3CFE"/>
    <w:rsid w:val="00BE4604"/>
    <w:rsid w:val="00BF1E4C"/>
    <w:rsid w:val="00BF383B"/>
    <w:rsid w:val="00C0138B"/>
    <w:rsid w:val="00C014AE"/>
    <w:rsid w:val="00C01CF0"/>
    <w:rsid w:val="00C03C7A"/>
    <w:rsid w:val="00C05647"/>
    <w:rsid w:val="00C555B2"/>
    <w:rsid w:val="00C63443"/>
    <w:rsid w:val="00C66321"/>
    <w:rsid w:val="00C70E9F"/>
    <w:rsid w:val="00C77A6D"/>
    <w:rsid w:val="00C90F73"/>
    <w:rsid w:val="00C917CC"/>
    <w:rsid w:val="00C935BD"/>
    <w:rsid w:val="00C95C38"/>
    <w:rsid w:val="00CA4B32"/>
    <w:rsid w:val="00CB29AB"/>
    <w:rsid w:val="00CB3BDB"/>
    <w:rsid w:val="00CB4710"/>
    <w:rsid w:val="00CB5E4E"/>
    <w:rsid w:val="00CC761C"/>
    <w:rsid w:val="00CD33E6"/>
    <w:rsid w:val="00CD73DE"/>
    <w:rsid w:val="00CE4BDE"/>
    <w:rsid w:val="00CF5476"/>
    <w:rsid w:val="00CF6ABA"/>
    <w:rsid w:val="00D03042"/>
    <w:rsid w:val="00D05222"/>
    <w:rsid w:val="00D10D17"/>
    <w:rsid w:val="00D23B29"/>
    <w:rsid w:val="00D374D3"/>
    <w:rsid w:val="00D37FD3"/>
    <w:rsid w:val="00D40A9E"/>
    <w:rsid w:val="00D416C0"/>
    <w:rsid w:val="00D450F2"/>
    <w:rsid w:val="00D45254"/>
    <w:rsid w:val="00D56504"/>
    <w:rsid w:val="00D5682E"/>
    <w:rsid w:val="00D60A04"/>
    <w:rsid w:val="00D67EE2"/>
    <w:rsid w:val="00D71AE1"/>
    <w:rsid w:val="00D80A57"/>
    <w:rsid w:val="00DA0A6C"/>
    <w:rsid w:val="00DA685C"/>
    <w:rsid w:val="00DB291D"/>
    <w:rsid w:val="00DC6CD3"/>
    <w:rsid w:val="00DD0477"/>
    <w:rsid w:val="00DD21C4"/>
    <w:rsid w:val="00E06F93"/>
    <w:rsid w:val="00E12D6C"/>
    <w:rsid w:val="00E16EFF"/>
    <w:rsid w:val="00E2708E"/>
    <w:rsid w:val="00E27D25"/>
    <w:rsid w:val="00E32B59"/>
    <w:rsid w:val="00E34648"/>
    <w:rsid w:val="00E4457B"/>
    <w:rsid w:val="00E51A2A"/>
    <w:rsid w:val="00E5298B"/>
    <w:rsid w:val="00E62C72"/>
    <w:rsid w:val="00E62CA1"/>
    <w:rsid w:val="00E6383F"/>
    <w:rsid w:val="00E655E4"/>
    <w:rsid w:val="00E65D81"/>
    <w:rsid w:val="00E678A9"/>
    <w:rsid w:val="00E772D3"/>
    <w:rsid w:val="00E77F1D"/>
    <w:rsid w:val="00E85A3E"/>
    <w:rsid w:val="00E95A3C"/>
    <w:rsid w:val="00EA0AE7"/>
    <w:rsid w:val="00EA1840"/>
    <w:rsid w:val="00EA6C81"/>
    <w:rsid w:val="00EB5E23"/>
    <w:rsid w:val="00EC6B97"/>
    <w:rsid w:val="00ED3F9B"/>
    <w:rsid w:val="00ED6566"/>
    <w:rsid w:val="00EE263D"/>
    <w:rsid w:val="00EE2D6B"/>
    <w:rsid w:val="00EF21E4"/>
    <w:rsid w:val="00EF3E9A"/>
    <w:rsid w:val="00F03CF7"/>
    <w:rsid w:val="00F05608"/>
    <w:rsid w:val="00F07A30"/>
    <w:rsid w:val="00F1067C"/>
    <w:rsid w:val="00F130E6"/>
    <w:rsid w:val="00F15E6B"/>
    <w:rsid w:val="00F16653"/>
    <w:rsid w:val="00F238B2"/>
    <w:rsid w:val="00F25F05"/>
    <w:rsid w:val="00F30074"/>
    <w:rsid w:val="00F30E47"/>
    <w:rsid w:val="00F36056"/>
    <w:rsid w:val="00F47A87"/>
    <w:rsid w:val="00F630B5"/>
    <w:rsid w:val="00F719E5"/>
    <w:rsid w:val="00F8043A"/>
    <w:rsid w:val="00F814DF"/>
    <w:rsid w:val="00F83E55"/>
    <w:rsid w:val="00F94EA1"/>
    <w:rsid w:val="00F95A50"/>
    <w:rsid w:val="00F963DF"/>
    <w:rsid w:val="00FA5861"/>
    <w:rsid w:val="00FC4063"/>
    <w:rsid w:val="00FC5A24"/>
    <w:rsid w:val="00FD635A"/>
    <w:rsid w:val="00FF3934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F7ED5"/>
  <w15:docId w15:val="{138D0896-CA13-4255-A028-2D87CF21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5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675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10"/>
    <w:basedOn w:val="Normal"/>
    <w:next w:val="Normal"/>
    <w:link w:val="Heading2Char"/>
    <w:unhideWhenUsed/>
    <w:qFormat/>
    <w:rsid w:val="00AC5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A53395"/>
    <w:pPr>
      <w:widowControl w:val="0"/>
      <w:ind w:left="113"/>
      <w:outlineLvl w:val="2"/>
    </w:pPr>
    <w:rPr>
      <w:rFonts w:eastAsia="Arial" w:cstheme="minorBidi"/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A53395"/>
    <w:pPr>
      <w:keepNext/>
      <w:tabs>
        <w:tab w:val="num" w:pos="864"/>
      </w:tabs>
      <w:spacing w:before="60" w:after="60"/>
      <w:ind w:left="864" w:hanging="864"/>
      <w:outlineLvl w:val="3"/>
    </w:pPr>
    <w:rPr>
      <w:rFonts w:eastAsia="Arial"/>
      <w:bCs/>
      <w:i/>
      <w:sz w:val="22"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53395"/>
    <w:pPr>
      <w:tabs>
        <w:tab w:val="num" w:pos="1008"/>
      </w:tabs>
      <w:spacing w:before="240" w:after="60"/>
      <w:ind w:left="1008" w:hanging="1008"/>
      <w:outlineLvl w:val="4"/>
    </w:pPr>
    <w:rPr>
      <w:rFonts w:eastAsia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53395"/>
    <w:pPr>
      <w:tabs>
        <w:tab w:val="num" w:pos="1152"/>
      </w:tabs>
      <w:spacing w:before="240" w:after="60"/>
      <w:ind w:left="1152" w:hanging="1152"/>
      <w:outlineLvl w:val="5"/>
    </w:pPr>
    <w:rPr>
      <w:rFonts w:eastAsia="Arial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53395"/>
    <w:pPr>
      <w:tabs>
        <w:tab w:val="num" w:pos="1296"/>
      </w:tabs>
      <w:spacing w:before="240" w:after="60"/>
      <w:ind w:left="1296" w:hanging="1296"/>
      <w:outlineLvl w:val="6"/>
    </w:pPr>
    <w:rPr>
      <w:rFonts w:eastAsia="Arial"/>
      <w:sz w:val="22"/>
      <w:szCs w:val="22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C5A19"/>
    <w:p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A53395"/>
    <w:pPr>
      <w:tabs>
        <w:tab w:val="num" w:pos="1584"/>
      </w:tabs>
      <w:spacing w:before="240" w:after="60"/>
      <w:ind w:left="1584" w:hanging="1584"/>
      <w:outlineLvl w:val="8"/>
    </w:pPr>
    <w:rPr>
      <w:rFonts w:eastAsia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84"/>
  </w:style>
  <w:style w:type="paragraph" w:styleId="Footer">
    <w:name w:val="footer"/>
    <w:basedOn w:val="Normal"/>
    <w:link w:val="FooterChar"/>
    <w:uiPriority w:val="99"/>
    <w:unhideWhenUsed/>
    <w:rsid w:val="00491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84"/>
  </w:style>
  <w:style w:type="paragraph" w:styleId="NoSpacing">
    <w:name w:val="No Spacing"/>
    <w:uiPriority w:val="1"/>
    <w:qFormat/>
    <w:rsid w:val="00491684"/>
    <w:pPr>
      <w:spacing w:after="0" w:line="240" w:lineRule="auto"/>
    </w:pPr>
  </w:style>
  <w:style w:type="table" w:styleId="TableGrid">
    <w:name w:val="Table Grid"/>
    <w:basedOn w:val="TableNormal"/>
    <w:uiPriority w:val="39"/>
    <w:rsid w:val="003D7B5C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6A243D"/>
    <w:pPr>
      <w:ind w:left="720"/>
      <w:jc w:val="both"/>
    </w:pPr>
    <w:rPr>
      <w:rFonts w:eastAsia="Times New 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6A243D"/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3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5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3766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660A"/>
    <w:rPr>
      <w:rFonts w:ascii="Arial" w:hAnsi="Arial" w:cs="Arial"/>
      <w:sz w:val="16"/>
      <w:szCs w:val="16"/>
    </w:rPr>
  </w:style>
  <w:style w:type="paragraph" w:customStyle="1" w:styleId="Default">
    <w:name w:val="Default"/>
    <w:rsid w:val="00376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legdslegrhslegp4text">
    <w:name w:val="legds legrhs legp4text"/>
    <w:basedOn w:val="DefaultParagraphFont"/>
    <w:rsid w:val="0037660A"/>
  </w:style>
  <w:style w:type="character" w:customStyle="1" w:styleId="legdslegrhslegp2text">
    <w:name w:val="legds legrhs legp2text"/>
    <w:basedOn w:val="DefaultParagraphFont"/>
    <w:rsid w:val="0037660A"/>
  </w:style>
  <w:style w:type="character" w:customStyle="1" w:styleId="legdslegrhslegp3text">
    <w:name w:val="legds legrhs legp3text"/>
    <w:basedOn w:val="DefaultParagraphFont"/>
    <w:rsid w:val="0037660A"/>
  </w:style>
  <w:style w:type="character" w:customStyle="1" w:styleId="legdslegcontentstitle">
    <w:name w:val="legds legcontentstitle"/>
    <w:basedOn w:val="DefaultParagraphFont"/>
    <w:rsid w:val="0037660A"/>
  </w:style>
  <w:style w:type="character" w:customStyle="1" w:styleId="Heading1Char">
    <w:name w:val="Heading 1 Char"/>
    <w:basedOn w:val="DefaultParagraphFont"/>
    <w:link w:val="Heading1"/>
    <w:rsid w:val="00306758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A21E22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A21E22"/>
    <w:pPr>
      <w:spacing w:line="241" w:lineRule="atLeast"/>
    </w:pPr>
    <w:rPr>
      <w:rFonts w:ascii="Trebuchet MS" w:eastAsiaTheme="minorHAnsi" w:hAnsi="Trebuchet MS"/>
      <w:color w:val="auto"/>
      <w:lang w:eastAsia="en-US"/>
    </w:rPr>
  </w:style>
  <w:style w:type="paragraph" w:customStyle="1" w:styleId="Pa2">
    <w:name w:val="Pa2"/>
    <w:basedOn w:val="Default"/>
    <w:next w:val="Default"/>
    <w:uiPriority w:val="99"/>
    <w:rsid w:val="00A21E22"/>
    <w:pPr>
      <w:spacing w:line="221" w:lineRule="atLeast"/>
    </w:pPr>
    <w:rPr>
      <w:rFonts w:ascii="Trebuchet MS" w:eastAsiaTheme="minorHAnsi" w:hAnsi="Trebuchet MS"/>
      <w:color w:val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54274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rsid w:val="00B429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2983"/>
    <w:rPr>
      <w:rFonts w:ascii="Arial" w:hAnsi="Arial" w:cs="Arial"/>
      <w:sz w:val="24"/>
      <w:szCs w:val="24"/>
    </w:rPr>
  </w:style>
  <w:style w:type="paragraph" w:customStyle="1" w:styleId="CorpHeading2">
    <w:name w:val="Corp Heading 2"/>
    <w:next w:val="BodyText"/>
    <w:rsid w:val="00B42983"/>
    <w:pPr>
      <w:spacing w:after="0" w:line="240" w:lineRule="auto"/>
    </w:pPr>
    <w:rPr>
      <w:rFonts w:ascii="Arial" w:eastAsia="Times New Roman" w:hAnsi="Arial" w:cs="Tahoma"/>
      <w:b/>
      <w:bCs/>
      <w:sz w:val="28"/>
      <w:szCs w:val="24"/>
    </w:rPr>
  </w:style>
  <w:style w:type="character" w:customStyle="1" w:styleId="Heading2Char">
    <w:name w:val="Heading 2 Char"/>
    <w:aliases w:val="Heading 10 Char"/>
    <w:basedOn w:val="DefaultParagraphFont"/>
    <w:link w:val="Heading2"/>
    <w:rsid w:val="00AC5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AC5A19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PL1Body">
    <w:name w:val="SP L1 Body"/>
    <w:link w:val="SPL1BodyChar"/>
    <w:rsid w:val="00AC5A19"/>
    <w:pPr>
      <w:spacing w:before="120" w:after="120" w:line="240" w:lineRule="auto"/>
      <w:ind w:left="839"/>
    </w:pPr>
    <w:rPr>
      <w:rFonts w:ascii="Arial" w:eastAsia="Times New Roman" w:hAnsi="Arial" w:cs="Times New Roman"/>
      <w:bCs/>
      <w:szCs w:val="20"/>
    </w:rPr>
  </w:style>
  <w:style w:type="character" w:customStyle="1" w:styleId="SPL1BodyChar">
    <w:name w:val="SP L1 Body Char"/>
    <w:basedOn w:val="DefaultParagraphFont"/>
    <w:link w:val="SPL1Body"/>
    <w:rsid w:val="00AC5A19"/>
    <w:rPr>
      <w:rFonts w:ascii="Arial" w:eastAsia="Times New Roman" w:hAnsi="Arial" w:cs="Times New Roman"/>
      <w:bCs/>
      <w:szCs w:val="20"/>
    </w:rPr>
  </w:style>
  <w:style w:type="paragraph" w:styleId="NormalWeb">
    <w:name w:val="Normal (Web)"/>
    <w:basedOn w:val="Normal"/>
    <w:uiPriority w:val="99"/>
    <w:rsid w:val="00AC5A19"/>
    <w:rPr>
      <w:rFonts w:ascii="Times New Roman" w:eastAsia="Times New Roman" w:hAnsi="Times New Roman" w:cs="Times New Roman"/>
    </w:rPr>
  </w:style>
  <w:style w:type="paragraph" w:customStyle="1" w:styleId="CorpHeading">
    <w:name w:val="Corp Heading"/>
    <w:next w:val="BodyText"/>
    <w:link w:val="CorpHeadingChar"/>
    <w:rsid w:val="00AC5A19"/>
    <w:pPr>
      <w:spacing w:after="0" w:line="240" w:lineRule="auto"/>
    </w:pPr>
    <w:rPr>
      <w:rFonts w:ascii="Arial" w:eastAsia="Times New Roman" w:hAnsi="Arial" w:cs="Tahoma"/>
      <w:b/>
      <w:bCs/>
      <w:sz w:val="32"/>
      <w:szCs w:val="24"/>
    </w:rPr>
  </w:style>
  <w:style w:type="character" w:customStyle="1" w:styleId="CorpHeadingChar">
    <w:name w:val="Corp Heading Char"/>
    <w:link w:val="CorpHeading"/>
    <w:rsid w:val="00AC5A19"/>
    <w:rPr>
      <w:rFonts w:ascii="Arial" w:eastAsia="Times New Roman" w:hAnsi="Arial" w:cs="Tahoma"/>
      <w:b/>
      <w:bCs/>
      <w:sz w:val="32"/>
      <w:szCs w:val="24"/>
    </w:rPr>
  </w:style>
  <w:style w:type="character" w:styleId="PageNumber">
    <w:name w:val="page number"/>
    <w:basedOn w:val="DefaultParagraphFont"/>
    <w:rsid w:val="00AC5A19"/>
  </w:style>
  <w:style w:type="paragraph" w:customStyle="1" w:styleId="DHBodycopy">
    <w:name w:val="DH Body copy"/>
    <w:basedOn w:val="Normal"/>
    <w:rsid w:val="00AC5A19"/>
    <w:pPr>
      <w:spacing w:line="320" w:lineRule="exact"/>
    </w:pPr>
    <w:rPr>
      <w:rFonts w:eastAsia="Times New Roman" w:cs="Times New Roman"/>
      <w:szCs w:val="20"/>
    </w:rPr>
  </w:style>
  <w:style w:type="paragraph" w:customStyle="1" w:styleId="DHtitlepagetext">
    <w:name w:val="DH title page text"/>
    <w:basedOn w:val="Normal"/>
    <w:rsid w:val="00AC5A19"/>
    <w:pPr>
      <w:spacing w:line="660" w:lineRule="exact"/>
    </w:pPr>
    <w:rPr>
      <w:rFonts w:eastAsia="Times New Roman" w:cs="Times New Roman"/>
      <w:b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C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067C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07FEA"/>
    <w:pPr>
      <w:tabs>
        <w:tab w:val="right" w:leader="dot" w:pos="9016"/>
      </w:tabs>
      <w:spacing w:before="120"/>
      <w:ind w:left="240"/>
    </w:pPr>
    <w:rPr>
      <w:rFonts w:eastAsiaTheme="majorEastAsia"/>
      <w:noProof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F1067C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F1067C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IntenseEmphasis">
    <w:name w:val="Intense Emphasis"/>
    <w:uiPriority w:val="21"/>
    <w:qFormat/>
    <w:rsid w:val="00D56504"/>
    <w:rPr>
      <w:b/>
      <w:bCs/>
      <w:i/>
      <w:iCs/>
      <w:color w:val="4F81BD"/>
    </w:rPr>
  </w:style>
  <w:style w:type="character" w:customStyle="1" w:styleId="Heading3Char">
    <w:name w:val="Heading 3 Char"/>
    <w:basedOn w:val="DefaultParagraphFont"/>
    <w:link w:val="Heading3"/>
    <w:rsid w:val="00A53395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A53395"/>
    <w:rPr>
      <w:rFonts w:ascii="Arial" w:eastAsia="Arial" w:hAnsi="Arial" w:cs="Arial"/>
      <w:bCs/>
      <w:i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53395"/>
    <w:rPr>
      <w:rFonts w:ascii="Arial" w:eastAsia="Arial" w:hAnsi="Arial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53395"/>
    <w:rPr>
      <w:rFonts w:ascii="Arial" w:eastAsia="Arial" w:hAnsi="Arial" w:cs="Arial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53395"/>
    <w:rPr>
      <w:rFonts w:ascii="Arial" w:eastAsia="Arial" w:hAnsi="Arial" w:cs="Arial"/>
      <w:lang w:eastAsia="en-GB"/>
    </w:rPr>
  </w:style>
  <w:style w:type="character" w:customStyle="1" w:styleId="Heading9Char">
    <w:name w:val="Heading 9 Char"/>
    <w:basedOn w:val="DefaultParagraphFont"/>
    <w:link w:val="Heading9"/>
    <w:rsid w:val="00A53395"/>
    <w:rPr>
      <w:rFonts w:ascii="Arial" w:eastAsia="Arial" w:hAnsi="Arial" w:cs="Arial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53395"/>
  </w:style>
  <w:style w:type="table" w:customStyle="1" w:styleId="TableGrid3">
    <w:name w:val="Table Grid3"/>
    <w:basedOn w:val="TableNormal"/>
    <w:next w:val="TableGrid"/>
    <w:uiPriority w:val="59"/>
    <w:rsid w:val="00A5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Char"/>
    <w:basedOn w:val="Normal"/>
    <w:link w:val="BodyTextIndentChar"/>
    <w:unhideWhenUsed/>
    <w:rsid w:val="00A53395"/>
    <w:pPr>
      <w:spacing w:after="120"/>
      <w:ind w:left="283"/>
    </w:pPr>
  </w:style>
  <w:style w:type="character" w:customStyle="1" w:styleId="BodyTextIndentChar">
    <w:name w:val="Body Text Indent Char"/>
    <w:aliases w:val=" Char Char1,Char Char1"/>
    <w:basedOn w:val="DefaultParagraphFont"/>
    <w:link w:val="BodyTextIndent"/>
    <w:rsid w:val="00A53395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rsid w:val="00A53395"/>
    <w:pPr>
      <w:spacing w:before="60" w:after="60"/>
    </w:pPr>
    <w:rPr>
      <w:rFonts w:eastAsia="Arial"/>
      <w:sz w:val="20"/>
      <w:szCs w:val="22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A53395"/>
    <w:rPr>
      <w:rFonts w:ascii="Arial" w:eastAsia="Arial" w:hAnsi="Arial" w:cs="Arial"/>
      <w:sz w:val="20"/>
      <w:lang w:eastAsia="en-GB"/>
    </w:rPr>
  </w:style>
  <w:style w:type="paragraph" w:styleId="TOC4">
    <w:name w:val="toc 4"/>
    <w:basedOn w:val="Normal"/>
    <w:next w:val="Normal"/>
    <w:autoRedefine/>
    <w:rsid w:val="00A53395"/>
    <w:pPr>
      <w:ind w:left="720"/>
    </w:pPr>
    <w:rPr>
      <w:rFonts w:asciiTheme="minorHAnsi" w:hAnsiTheme="minorHAnsi" w:cstheme="minorHAnsi"/>
      <w:sz w:val="20"/>
      <w:szCs w:val="20"/>
    </w:rPr>
  </w:style>
  <w:style w:type="character" w:customStyle="1" w:styleId="BlueFont">
    <w:name w:val="BlueFont"/>
    <w:rsid w:val="00A53395"/>
    <w:rPr>
      <w:b/>
      <w:color w:val="24709B"/>
    </w:rPr>
  </w:style>
  <w:style w:type="character" w:styleId="Strong">
    <w:name w:val="Strong"/>
    <w:uiPriority w:val="22"/>
    <w:qFormat/>
    <w:rsid w:val="00A53395"/>
    <w:rPr>
      <w:b/>
      <w:bCs/>
    </w:rPr>
  </w:style>
  <w:style w:type="paragraph" w:customStyle="1" w:styleId="Body2">
    <w:name w:val="Body 2"/>
    <w:basedOn w:val="Normal"/>
    <w:rsid w:val="00A53395"/>
    <w:pPr>
      <w:tabs>
        <w:tab w:val="left" w:pos="851"/>
      </w:tabs>
      <w:spacing w:after="240" w:line="312" w:lineRule="auto"/>
      <w:ind w:left="851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Style1">
    <w:name w:val="Style1"/>
    <w:basedOn w:val="Normal"/>
    <w:rsid w:val="00A53395"/>
    <w:pPr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rginText">
    <w:name w:val="Margin Text"/>
    <w:basedOn w:val="BodyText"/>
    <w:rsid w:val="00A53395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53395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3395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unhideWhenUsed/>
    <w:rsid w:val="00A53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39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53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53395"/>
    <w:rPr>
      <w:rFonts w:ascii="Arial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A533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53395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A53395"/>
    <w:pPr>
      <w:jc w:val="center"/>
    </w:pPr>
    <w:rPr>
      <w:rFonts w:eastAsia="Times New Roman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A53395"/>
    <w:rPr>
      <w:rFonts w:ascii="Arial" w:eastAsia="Times New Roman" w:hAnsi="Arial" w:cs="Arial"/>
      <w:b/>
      <w:bCs/>
      <w:sz w:val="48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A53395"/>
  </w:style>
  <w:style w:type="table" w:customStyle="1" w:styleId="TableGrid11">
    <w:name w:val="Table Grid11"/>
    <w:basedOn w:val="TableNormal"/>
    <w:next w:val="TableGrid"/>
    <w:uiPriority w:val="59"/>
    <w:rsid w:val="00A53395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A53395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1">
    <w:name w:val="Light Shading Accent 1"/>
    <w:basedOn w:val="TableNormal"/>
    <w:uiPriority w:val="60"/>
    <w:rsid w:val="00A53395"/>
    <w:pPr>
      <w:spacing w:after="0" w:line="240" w:lineRule="auto"/>
    </w:pPr>
    <w:rPr>
      <w:rFonts w:ascii="Arial" w:eastAsia="Calibri" w:hAnsi="Arial" w:cs="Times New Roman"/>
      <w:color w:val="365F9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efinition">
    <w:name w:val="definition"/>
    <w:rsid w:val="00A53395"/>
  </w:style>
  <w:style w:type="character" w:styleId="FollowedHyperlink">
    <w:name w:val="FollowedHyperlink"/>
    <w:uiPriority w:val="99"/>
    <w:unhideWhenUsed/>
    <w:rsid w:val="00A53395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F238B2"/>
    <w:pPr>
      <w:ind w:left="2160" w:hanging="720"/>
      <w:jc w:val="both"/>
    </w:pPr>
    <w:rPr>
      <w:rFonts w:eastAsia="Times New Roman"/>
      <w:snapToGrid w:val="0"/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F238B2"/>
    <w:rPr>
      <w:rFonts w:ascii="Arial" w:eastAsia="Times New Roman" w:hAnsi="Arial" w:cs="Arial"/>
      <w:snapToGrid w:val="0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F238B2"/>
    <w:pPr>
      <w:jc w:val="center"/>
    </w:pPr>
    <w:rPr>
      <w:rFonts w:eastAsia="Times New Roman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F238B2"/>
    <w:rPr>
      <w:rFonts w:ascii="Arial" w:eastAsia="Times New Roman" w:hAnsi="Arial" w:cs="Arial"/>
      <w:b/>
      <w:bCs/>
      <w:sz w:val="32"/>
      <w:szCs w:val="24"/>
    </w:rPr>
  </w:style>
  <w:style w:type="paragraph" w:styleId="BlockText">
    <w:name w:val="Block Text"/>
    <w:basedOn w:val="Normal"/>
    <w:rsid w:val="00F238B2"/>
    <w:pPr>
      <w:spacing w:before="120"/>
      <w:ind w:left="720" w:right="29"/>
      <w:jc w:val="both"/>
    </w:pPr>
    <w:rPr>
      <w:rFonts w:ascii="Tahoma" w:eastAsia="Times New Roman" w:hAnsi="Tahoma" w:cs="Tahoma"/>
      <w:sz w:val="22"/>
    </w:rPr>
  </w:style>
  <w:style w:type="paragraph" w:customStyle="1" w:styleId="Mainitembody">
    <w:name w:val="Main item body"/>
    <w:basedOn w:val="Normal"/>
    <w:rsid w:val="00F238B2"/>
    <w:pPr>
      <w:spacing w:before="160"/>
      <w:ind w:left="720"/>
    </w:pPr>
    <w:rPr>
      <w:rFonts w:eastAsia="Times New Roman" w:cs="Times New Roman"/>
      <w:szCs w:val="20"/>
    </w:rPr>
  </w:style>
  <w:style w:type="paragraph" w:customStyle="1" w:styleId="Mainitem">
    <w:name w:val="Main item"/>
    <w:basedOn w:val="Normal"/>
    <w:next w:val="Mainitembody"/>
    <w:rsid w:val="00F238B2"/>
    <w:pPr>
      <w:numPr>
        <w:numId w:val="1"/>
      </w:numPr>
      <w:spacing w:before="280"/>
    </w:pPr>
    <w:rPr>
      <w:rFonts w:eastAsia="Times New Roman" w:cs="Times New Roman"/>
      <w:b/>
      <w:color w:val="000080"/>
      <w:szCs w:val="20"/>
    </w:rPr>
  </w:style>
  <w:style w:type="paragraph" w:customStyle="1" w:styleId="subitem2">
    <w:name w:val="sub item 2"/>
    <w:basedOn w:val="Mainitem"/>
    <w:next w:val="Normal"/>
    <w:rsid w:val="00F238B2"/>
    <w:pPr>
      <w:numPr>
        <w:ilvl w:val="1"/>
      </w:numPr>
      <w:spacing w:before="160"/>
    </w:pPr>
  </w:style>
  <w:style w:type="paragraph" w:customStyle="1" w:styleId="subitem3plain">
    <w:name w:val="sub item 3 plain"/>
    <w:basedOn w:val="Normal"/>
    <w:next w:val="Normal"/>
    <w:rsid w:val="00F238B2"/>
    <w:pPr>
      <w:numPr>
        <w:ilvl w:val="2"/>
        <w:numId w:val="1"/>
      </w:numPr>
      <w:spacing w:before="160"/>
    </w:pPr>
    <w:rPr>
      <w:rFonts w:eastAsia="Times New Roman" w:cs="Times New Roman"/>
      <w:szCs w:val="20"/>
    </w:rPr>
  </w:style>
  <w:style w:type="character" w:customStyle="1" w:styleId="legdslegrhslegp3textc1amend">
    <w:name w:val="legds legrhs legp3textc1amend"/>
    <w:rsid w:val="00F238B2"/>
  </w:style>
  <w:style w:type="character" w:customStyle="1" w:styleId="legdsleglhslegp3noc1amend">
    <w:name w:val="legds leglhs legp3noc1amend"/>
    <w:rsid w:val="00F238B2"/>
  </w:style>
  <w:style w:type="paragraph" w:customStyle="1" w:styleId="CM3">
    <w:name w:val="CM3"/>
    <w:basedOn w:val="Default"/>
    <w:next w:val="Default"/>
    <w:rsid w:val="00F238B2"/>
    <w:pPr>
      <w:spacing w:line="280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styleId="NormalIndent">
    <w:name w:val="Normal Indent"/>
    <w:basedOn w:val="Normal"/>
    <w:rsid w:val="00F238B2"/>
    <w:pPr>
      <w:ind w:left="720"/>
    </w:pPr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rsid w:val="00F238B2"/>
    <w:rPr>
      <w:rFonts w:ascii="Times New Roman" w:eastAsia="Times New Roman" w:hAnsi="Times New Roman" w:cs="Times New Roman"/>
    </w:rPr>
  </w:style>
  <w:style w:type="character" w:customStyle="1" w:styleId="DateChar">
    <w:name w:val="Date Char"/>
    <w:basedOn w:val="DefaultParagraphFont"/>
    <w:link w:val="Date"/>
    <w:rsid w:val="00F238B2"/>
    <w:rPr>
      <w:rFonts w:ascii="Times New Roman" w:eastAsia="Times New Roman" w:hAnsi="Times New Roman" w:cs="Times New Roman"/>
      <w:sz w:val="24"/>
      <w:szCs w:val="24"/>
    </w:rPr>
  </w:style>
  <w:style w:type="character" w:customStyle="1" w:styleId="Policy">
    <w:name w:val="Policy"/>
    <w:rsid w:val="00F238B2"/>
    <w:rPr>
      <w:rFonts w:ascii="Arial" w:hAnsi="Arial"/>
      <w:color w:val="auto"/>
      <w:sz w:val="18"/>
    </w:rPr>
  </w:style>
  <w:style w:type="paragraph" w:styleId="DocumentMap">
    <w:name w:val="Document Map"/>
    <w:basedOn w:val="Normal"/>
    <w:link w:val="DocumentMapChar"/>
    <w:rsid w:val="00F238B2"/>
    <w:pPr>
      <w:shd w:val="pct5" w:color="auto" w:fill="99CCFF"/>
      <w:jc w:val="both"/>
    </w:pPr>
    <w:rPr>
      <w:rFonts w:ascii="Tahoma" w:eastAsia="Times New Roman" w:hAnsi="Tahoma" w:cs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F238B2"/>
    <w:rPr>
      <w:rFonts w:ascii="Tahoma" w:eastAsia="Times New Roman" w:hAnsi="Tahoma" w:cs="Tahoma"/>
      <w:sz w:val="16"/>
      <w:szCs w:val="20"/>
      <w:shd w:val="pct5" w:color="auto" w:fill="99CCFF"/>
    </w:rPr>
  </w:style>
  <w:style w:type="paragraph" w:customStyle="1" w:styleId="CorpGov">
    <w:name w:val="CorpGov"/>
    <w:basedOn w:val="Normal"/>
    <w:rsid w:val="00F238B2"/>
    <w:pPr>
      <w:jc w:val="both"/>
    </w:pPr>
    <w:rPr>
      <w:rFonts w:eastAsia="Times New Roman" w:cs="Tahoma"/>
      <w:sz w:val="22"/>
      <w:szCs w:val="20"/>
    </w:rPr>
  </w:style>
  <w:style w:type="paragraph" w:customStyle="1" w:styleId="CorpGovNumber">
    <w:name w:val="CorpGovNumber"/>
    <w:basedOn w:val="Normal"/>
    <w:rsid w:val="00F238B2"/>
    <w:pPr>
      <w:ind w:left="720" w:hanging="720"/>
      <w:jc w:val="both"/>
    </w:pPr>
    <w:rPr>
      <w:rFonts w:eastAsia="Times New Roman" w:cs="Tahoma"/>
      <w:b/>
      <w:sz w:val="22"/>
      <w:szCs w:val="20"/>
    </w:rPr>
  </w:style>
  <w:style w:type="paragraph" w:customStyle="1" w:styleId="CorpGovHead2">
    <w:name w:val="CorpGovHead2"/>
    <w:basedOn w:val="Heading2"/>
    <w:rsid w:val="00F238B2"/>
    <w:pPr>
      <w:keepLines w:val="0"/>
      <w:tabs>
        <w:tab w:val="left" w:pos="-1440"/>
        <w:tab w:val="left" w:pos="-720"/>
        <w:tab w:val="left" w:pos="0"/>
        <w:tab w:val="left" w:pos="900"/>
        <w:tab w:val="left" w:pos="1440"/>
        <w:tab w:val="left" w:pos="1550"/>
        <w:tab w:val="left" w:pos="2160"/>
      </w:tabs>
      <w:suppressAutoHyphens/>
      <w:autoSpaceDE w:val="0"/>
      <w:autoSpaceDN w:val="0"/>
      <w:spacing w:before="0"/>
    </w:pPr>
    <w:rPr>
      <w:rFonts w:ascii="Arial" w:eastAsia="Times New Roman" w:hAnsi="Arial" w:cs="Tahoma"/>
      <w:bCs w:val="0"/>
      <w:smallCaps/>
      <w:color w:val="000000"/>
      <w:spacing w:val="-2"/>
      <w:sz w:val="22"/>
      <w:szCs w:val="28"/>
    </w:rPr>
  </w:style>
  <w:style w:type="paragraph" w:customStyle="1" w:styleId="HeadingCGroman">
    <w:name w:val="HeadingCGroman"/>
    <w:basedOn w:val="Normal"/>
    <w:rsid w:val="00F238B2"/>
    <w:pPr>
      <w:tabs>
        <w:tab w:val="left" w:pos="0"/>
        <w:tab w:val="left" w:pos="720"/>
      </w:tabs>
      <w:suppressAutoHyphens/>
      <w:spacing w:before="120"/>
      <w:ind w:left="720" w:hanging="720"/>
      <w:jc w:val="both"/>
    </w:pPr>
    <w:rPr>
      <w:rFonts w:eastAsia="Times New Roman" w:cs="Tahoma"/>
      <w:b/>
      <w:sz w:val="22"/>
    </w:rPr>
  </w:style>
  <w:style w:type="paragraph" w:customStyle="1" w:styleId="GovernanceText">
    <w:name w:val="Governance Text"/>
    <w:basedOn w:val="Heading1"/>
    <w:rsid w:val="00F238B2"/>
    <w:pPr>
      <w:keepLines w:val="0"/>
      <w:tabs>
        <w:tab w:val="left" w:pos="880"/>
      </w:tabs>
      <w:spacing w:before="0"/>
      <w:ind w:left="878" w:hanging="878"/>
      <w:jc w:val="both"/>
    </w:pPr>
    <w:rPr>
      <w:rFonts w:ascii="Tahoma" w:eastAsia="Times New Roman" w:hAnsi="Tahoma" w:cs="Times New Roman"/>
      <w:b w:val="0"/>
      <w:bCs w:val="0"/>
      <w:sz w:val="22"/>
      <w:szCs w:val="18"/>
    </w:rPr>
  </w:style>
  <w:style w:type="character" w:styleId="FootnoteReference">
    <w:name w:val="footnote reference"/>
    <w:rsid w:val="00F238B2"/>
    <w:rPr>
      <w:vertAlign w:val="superscript"/>
    </w:rPr>
  </w:style>
  <w:style w:type="paragraph" w:styleId="BodyTextFirstIndent2">
    <w:name w:val="Body Text First Indent 2"/>
    <w:basedOn w:val="BodyTextIndent"/>
    <w:link w:val="BodyTextFirstIndent2Char"/>
    <w:rsid w:val="00F238B2"/>
    <w:pPr>
      <w:ind w:firstLine="210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F238B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aliases w:val=" Char Char,Char Char"/>
    <w:uiPriority w:val="99"/>
    <w:rsid w:val="00F238B2"/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normalalph">
    <w:name w:val="normalalph"/>
    <w:basedOn w:val="Normal"/>
    <w:rsid w:val="00F238B2"/>
    <w:pPr>
      <w:spacing w:before="120" w:after="120" w:line="360" w:lineRule="auto"/>
    </w:pPr>
    <w:rPr>
      <w:rFonts w:eastAsia="Times New Roman" w:cs="Times New Roman"/>
      <w:b/>
      <w:color w:val="000000"/>
      <w:sz w:val="28"/>
      <w:szCs w:val="20"/>
      <w:lang w:val="en-US"/>
    </w:rPr>
  </w:style>
  <w:style w:type="paragraph" w:customStyle="1" w:styleId="normalp">
    <w:name w:val="normalp"/>
    <w:basedOn w:val="Normal"/>
    <w:rsid w:val="00F238B2"/>
    <w:pPr>
      <w:spacing w:before="120" w:after="120" w:line="360" w:lineRule="auto"/>
    </w:pPr>
    <w:rPr>
      <w:rFonts w:eastAsia="Times New Roman" w:cs="Times New Roman"/>
      <w:color w:val="000000"/>
      <w:szCs w:val="20"/>
      <w:lang w:val="en-US"/>
    </w:rPr>
  </w:style>
  <w:style w:type="paragraph" w:styleId="EndnoteText">
    <w:name w:val="endnote text"/>
    <w:basedOn w:val="Normal"/>
    <w:link w:val="EndnoteTextChar"/>
    <w:rsid w:val="00F238B2"/>
    <w:pPr>
      <w:spacing w:line="240" w:lineRule="atLeast"/>
    </w:pPr>
    <w:rPr>
      <w:rFonts w:ascii="Helvetica" w:eastAsia="Times New Roman" w:hAnsi="Helvetica" w:cs="Times New Roman"/>
      <w:color w:val="000000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F238B2"/>
    <w:rPr>
      <w:rFonts w:ascii="Helvetica" w:eastAsia="Times New Roman" w:hAnsi="Helvetica" w:cs="Times New Roman"/>
      <w:color w:val="000000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238B2"/>
    <w:pPr>
      <w:ind w:left="480"/>
    </w:pPr>
    <w:rPr>
      <w:rFonts w:asciiTheme="minorHAnsi" w:hAnsiTheme="minorHAnsi" w:cstheme="minorHAnsi"/>
      <w:sz w:val="20"/>
      <w:szCs w:val="20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F238B2"/>
    <w:rPr>
      <w:rFonts w:ascii="Arial" w:hAnsi="Arial" w:cs="Arial"/>
      <w:sz w:val="24"/>
      <w:szCs w:val="24"/>
    </w:rPr>
  </w:style>
  <w:style w:type="paragraph" w:customStyle="1" w:styleId="DARDEqualityText">
    <w:name w:val="DARD Equality Text"/>
    <w:basedOn w:val="Normal"/>
    <w:rsid w:val="002C5128"/>
    <w:pPr>
      <w:spacing w:line="360" w:lineRule="auto"/>
    </w:pPr>
    <w:rPr>
      <w:rFonts w:eastAsia="Times" w:cs="Times New Roman"/>
      <w:sz w:val="28"/>
      <w:szCs w:val="20"/>
      <w:lang w:val="en-US"/>
    </w:rPr>
  </w:style>
  <w:style w:type="paragraph" w:customStyle="1" w:styleId="DARDEqualityTextBold">
    <w:name w:val="DARD Equality Text Bold"/>
    <w:basedOn w:val="Normal"/>
    <w:link w:val="DARDEqualityTextBoldChar"/>
    <w:rsid w:val="002C5128"/>
    <w:pPr>
      <w:spacing w:line="360" w:lineRule="auto"/>
    </w:pPr>
    <w:rPr>
      <w:rFonts w:eastAsia="Times" w:cs="Times New Roman"/>
      <w:b/>
      <w:color w:val="142062"/>
      <w:sz w:val="28"/>
      <w:szCs w:val="20"/>
      <w:lang w:val="en-US"/>
    </w:rPr>
  </w:style>
  <w:style w:type="character" w:customStyle="1" w:styleId="DARDEqualityTextBoldChar">
    <w:name w:val="DARD Equality Text Bold Char"/>
    <w:link w:val="DARDEqualityTextBold"/>
    <w:rsid w:val="002C5128"/>
    <w:rPr>
      <w:rFonts w:ascii="Arial" w:eastAsia="Times" w:hAnsi="Arial" w:cs="Times New Roman"/>
      <w:b/>
      <w:color w:val="142062"/>
      <w:sz w:val="28"/>
      <w:szCs w:val="20"/>
      <w:lang w:val="en-US"/>
    </w:rPr>
  </w:style>
  <w:style w:type="table" w:customStyle="1" w:styleId="TableGrid4">
    <w:name w:val="Table Grid4"/>
    <w:basedOn w:val="TableNormal"/>
    <w:next w:val="TableGrid"/>
    <w:rsid w:val="00E77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4EA1"/>
    <w:rPr>
      <w:color w:val="808080"/>
    </w:rPr>
  </w:style>
  <w:style w:type="character" w:customStyle="1" w:styleId="EIACompletion">
    <w:name w:val="EIA Completion"/>
    <w:basedOn w:val="DefaultParagraphFont"/>
    <w:uiPriority w:val="1"/>
    <w:rsid w:val="00F94EA1"/>
    <w:rPr>
      <w:rFonts w:ascii="Arial" w:hAnsi="Arial"/>
      <w:sz w:val="24"/>
    </w:rPr>
  </w:style>
  <w:style w:type="character" w:customStyle="1" w:styleId="Heading2Char1">
    <w:name w:val="Heading 2 Char1"/>
    <w:aliases w:val="Heading 10 Char1"/>
    <w:basedOn w:val="DefaultParagraphFont"/>
    <w:semiHidden/>
    <w:rsid w:val="002713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2713F0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E4604"/>
    <w:rPr>
      <w:color w:val="605E5C"/>
      <w:shd w:val="clear" w:color="auto" w:fill="E1DFDD"/>
    </w:rPr>
  </w:style>
  <w:style w:type="paragraph" w:customStyle="1" w:styleId="Indentedparagraph">
    <w:name w:val="Indented paragraph"/>
    <w:basedOn w:val="Normal"/>
    <w:qFormat/>
    <w:rsid w:val="009D094C"/>
    <w:pPr>
      <w:spacing w:before="120" w:after="120"/>
      <w:ind w:left="567"/>
    </w:pPr>
    <w:rPr>
      <w:rFonts w:eastAsia="Calibri" w:cstheme="minorHAnsi"/>
      <w:color w:val="000000" w:themeColor="text1"/>
      <w:sz w:val="22"/>
      <w:szCs w:val="22"/>
      <w:lang w:eastAsia="en-GB"/>
    </w:rPr>
  </w:style>
  <w:style w:type="paragraph" w:customStyle="1" w:styleId="Bullet">
    <w:name w:val="Bullet"/>
    <w:basedOn w:val="Indentedparagraph"/>
    <w:qFormat/>
    <w:rsid w:val="009D094C"/>
    <w:pPr>
      <w:numPr>
        <w:numId w:val="22"/>
      </w:numPr>
      <w:ind w:left="851" w:hanging="284"/>
    </w:pPr>
  </w:style>
  <w:style w:type="paragraph" w:customStyle="1" w:styleId="Heading333">
    <w:name w:val="Heading 3.3.3"/>
    <w:basedOn w:val="Normal"/>
    <w:qFormat/>
    <w:rsid w:val="009D094C"/>
    <w:pPr>
      <w:spacing w:before="240" w:after="120"/>
    </w:pPr>
    <w:rPr>
      <w:rFonts w:eastAsia="Calibri"/>
      <w:b/>
      <w:bCs/>
      <w:color w:val="000000" w:themeColor="text1"/>
      <w:lang w:eastAsia="en-GB"/>
    </w:rPr>
  </w:style>
  <w:style w:type="paragraph" w:customStyle="1" w:styleId="Tablebullet">
    <w:name w:val="Table bullet"/>
    <w:basedOn w:val="ListParagraph"/>
    <w:qFormat/>
    <w:rsid w:val="009D094C"/>
    <w:pPr>
      <w:numPr>
        <w:numId w:val="24"/>
      </w:numPr>
      <w:tabs>
        <w:tab w:val="num" w:pos="360"/>
      </w:tabs>
      <w:spacing w:before="120" w:after="120"/>
      <w:ind w:left="318" w:hanging="283"/>
      <w:contextualSpacing w:val="0"/>
    </w:pPr>
    <w:rPr>
      <w:rFonts w:eastAsia="Calibri"/>
      <w:color w:val="000000" w:themeColor="text1"/>
      <w:sz w:val="22"/>
      <w:szCs w:val="22"/>
      <w:lang w:eastAsia="en-GB"/>
    </w:rPr>
  </w:style>
  <w:style w:type="paragraph" w:customStyle="1" w:styleId="Tableparagraph0">
    <w:name w:val="Table paragraph"/>
    <w:basedOn w:val="Normal"/>
    <w:qFormat/>
    <w:rsid w:val="009D094C"/>
    <w:pPr>
      <w:spacing w:before="120" w:after="120"/>
    </w:pPr>
    <w:rPr>
      <w:rFonts w:eastAsia="Calibri"/>
      <w:color w:val="000000" w:themeColor="text1"/>
      <w:sz w:val="22"/>
      <w:szCs w:val="22"/>
      <w:lang w:eastAsia="en-GB"/>
    </w:rPr>
  </w:style>
  <w:style w:type="paragraph" w:customStyle="1" w:styleId="Tablepara">
    <w:name w:val="Table para"/>
    <w:basedOn w:val="Normal"/>
    <w:qFormat/>
    <w:rsid w:val="009D094C"/>
    <w:pPr>
      <w:spacing w:before="120" w:after="120"/>
    </w:pPr>
    <w:rPr>
      <w:rFonts w:eastAsia="Calibri"/>
      <w:color w:val="000000" w:themeColor="text1"/>
      <w:sz w:val="22"/>
      <w:szCs w:val="22"/>
      <w:lang w:eastAsia="en-GB"/>
    </w:rPr>
  </w:style>
  <w:style w:type="table" w:customStyle="1" w:styleId="TableGrid5">
    <w:name w:val="Table Grid5"/>
    <w:basedOn w:val="TableNormal"/>
    <w:next w:val="TableGrid"/>
    <w:uiPriority w:val="39"/>
    <w:rsid w:val="009E2C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uiPriority w:val="39"/>
    <w:unhideWhenUsed/>
    <w:rsid w:val="00A73D41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73D4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73D4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73D4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73D41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Revision">
    <w:name w:val="Revision"/>
    <w:hidden/>
    <w:uiPriority w:val="99"/>
    <w:semiHidden/>
    <w:rsid w:val="007C63C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ortheastnorthcumbria.nhs.uk/about-us/corporate-information/governance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ortheastnorthcumbria.nhs.uk/about-us/corporate-information/govern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f02511-e93c-461f-9019-cd992a25a150">NECS-146905827-208</_dlc_DocId>
    <_dlc_DocIdUrl xmlns="65f02511-e93c-461f-9019-cd992a25a150">
      <Url>https://collab.necsu.nhs.uk/work/gov/_layouts/15/DocIdRedir.aspx?ID=NECS-146905827-208</Url>
      <Description>NECS-146905827-208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AC92EBC5CE42BBAEC3F675C18317" ma:contentTypeVersion="0" ma:contentTypeDescription="Create a new document." ma:contentTypeScope="" ma:versionID="ccd70072f6cc5409732adb2879cf2c6e">
  <xsd:schema xmlns:xsd="http://www.w3.org/2001/XMLSchema" xmlns:xs="http://www.w3.org/2001/XMLSchema" xmlns:p="http://schemas.microsoft.com/office/2006/metadata/properties" xmlns:ns2="65f02511-e93c-461f-9019-cd992a25a150" targetNamespace="http://schemas.microsoft.com/office/2006/metadata/properties" ma:root="true" ma:fieldsID="607edf7f8d5df58292c600dff1829fc7" ns2:_="">
    <xsd:import namespace="65f02511-e93c-461f-9019-cd992a25a1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02511-e93c-461f-9019-cd992a25a1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323B-8A02-48FD-A248-ED9B9B0D4E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9B59D7-0F60-496F-878B-BC1527CCF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CD0A0-5968-44DF-820D-D4D2687BE59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5f02511-e93c-461f-9019-cd992a25a150"/>
  </ds:schemaRefs>
</ds:datastoreItem>
</file>

<file path=customXml/itemProps4.xml><?xml version="1.0" encoding="utf-8"?>
<ds:datastoreItem xmlns:ds="http://schemas.openxmlformats.org/officeDocument/2006/customXml" ds:itemID="{75746DEA-6645-42C2-84DD-7A8C9307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02511-e93c-461f-9019-cd992a25a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5F5C5-F4FB-45CB-9D5F-21C5E938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Witters</dc:creator>
  <cp:lastModifiedBy>HUTCHINSON, Lynda (NHS NORTH EAST AND NORTH CUMBRIA ICB - 00P)</cp:lastModifiedBy>
  <cp:revision>5</cp:revision>
  <cp:lastPrinted>2024-04-10T14:58:00Z</cp:lastPrinted>
  <dcterms:created xsi:type="dcterms:W3CDTF">2024-07-12T11:55:00Z</dcterms:created>
  <dcterms:modified xsi:type="dcterms:W3CDTF">2025-02-10T13:38:00Z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0x010100B46FAC92EBC5CE42BBAEC3F675C18317</vt:lpwstr>
  </property>
  <property fmtid="{D5CDD505-2E9C-101B-9397-08002B2CF9AE}" pid="3" name="_dlc_DocIdItemGuid">
    <vt:lpwstr>47764060-0856-4e50-b48c-ed73bbb74e47</vt:lpwstr>
  </property>
</Properties>
</file>