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87C6" w14:textId="65706297" w:rsidR="00E06F93" w:rsidRPr="009827C2" w:rsidRDefault="00832DB4" w:rsidP="00832DB4">
      <w:pPr>
        <w:spacing w:after="200" w:line="276" w:lineRule="auto"/>
        <w:jc w:val="right"/>
      </w:pPr>
      <w:r w:rsidRPr="009827C2">
        <w:rPr>
          <w:noProof/>
        </w:rPr>
        <w:drawing>
          <wp:inline distT="0" distB="0" distL="0" distR="0" wp14:anchorId="23831B84" wp14:editId="77C35690">
            <wp:extent cx="1709420" cy="1029140"/>
            <wp:effectExtent l="0" t="0" r="508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2"/>
                    <a:stretch>
                      <a:fillRect/>
                    </a:stretch>
                  </pic:blipFill>
                  <pic:spPr>
                    <a:xfrm>
                      <a:off x="0" y="0"/>
                      <a:ext cx="1731494" cy="1042430"/>
                    </a:xfrm>
                    <a:prstGeom prst="rect">
                      <a:avLst/>
                    </a:prstGeom>
                  </pic:spPr>
                </pic:pic>
              </a:graphicData>
            </a:graphic>
          </wp:inline>
        </w:drawing>
      </w:r>
    </w:p>
    <w:p w14:paraId="518561A2" w14:textId="77777777" w:rsidR="00F94EA1" w:rsidRPr="009827C2" w:rsidRDefault="00F94EA1" w:rsidP="00F94EA1"/>
    <w:p w14:paraId="63B2E9AE" w14:textId="77777777" w:rsidR="00E06F93" w:rsidRPr="009827C2" w:rsidRDefault="00E06F93" w:rsidP="00E06F93">
      <w:pPr>
        <w:rPr>
          <w:rFonts w:eastAsia="Arial"/>
          <w:b/>
          <w:bCs/>
        </w:rPr>
      </w:pPr>
    </w:p>
    <w:p w14:paraId="6EEDF859" w14:textId="77777777" w:rsidR="00832DB4" w:rsidRPr="009827C2" w:rsidRDefault="00832DB4" w:rsidP="00832DB4">
      <w:pPr>
        <w:jc w:val="center"/>
        <w:rPr>
          <w:b/>
        </w:rPr>
      </w:pPr>
    </w:p>
    <w:p w14:paraId="1B8747C8" w14:textId="2CE52CA1" w:rsidR="00832DB4" w:rsidRPr="00C43E88" w:rsidRDefault="00832DB4" w:rsidP="00832DB4">
      <w:pPr>
        <w:jc w:val="center"/>
        <w:rPr>
          <w:b/>
          <w:sz w:val="36"/>
          <w:szCs w:val="36"/>
        </w:rPr>
      </w:pPr>
      <w:r w:rsidRPr="00C43E88">
        <w:rPr>
          <w:b/>
          <w:sz w:val="36"/>
          <w:szCs w:val="36"/>
        </w:rPr>
        <w:t>Integrated Care Board</w:t>
      </w:r>
    </w:p>
    <w:p w14:paraId="61BB938C" w14:textId="36E2BC68" w:rsidR="00E06F93" w:rsidRPr="00C43E88" w:rsidRDefault="00E06F93" w:rsidP="008916FB">
      <w:pPr>
        <w:pStyle w:val="BodyText"/>
        <w:jc w:val="right"/>
        <w:rPr>
          <w:sz w:val="36"/>
          <w:szCs w:val="36"/>
        </w:rPr>
      </w:pPr>
    </w:p>
    <w:p w14:paraId="74184BCE" w14:textId="77777777" w:rsidR="00E06F93" w:rsidRPr="00C43E88" w:rsidRDefault="00E06F93" w:rsidP="00E06F93">
      <w:pPr>
        <w:rPr>
          <w:sz w:val="36"/>
          <w:szCs w:val="36"/>
        </w:rPr>
      </w:pPr>
    </w:p>
    <w:p w14:paraId="72F25295" w14:textId="10D51DFF" w:rsidR="0080678A" w:rsidRPr="00C43E88" w:rsidRDefault="00733E15" w:rsidP="00E06F93">
      <w:pPr>
        <w:jc w:val="center"/>
        <w:rPr>
          <w:b/>
          <w:bCs/>
          <w:sz w:val="36"/>
          <w:szCs w:val="36"/>
        </w:rPr>
      </w:pPr>
      <w:r w:rsidRPr="00C43E88">
        <w:rPr>
          <w:b/>
          <w:sz w:val="36"/>
          <w:szCs w:val="36"/>
        </w:rPr>
        <w:t>Pharmaceutical Services Regulations [Sub] Committee</w:t>
      </w:r>
      <w:r w:rsidR="00442418">
        <w:rPr>
          <w:b/>
          <w:sz w:val="36"/>
          <w:szCs w:val="36"/>
        </w:rPr>
        <w:t xml:space="preserve"> (PSRC)</w:t>
      </w:r>
      <w:r w:rsidRPr="00C43E88">
        <w:rPr>
          <w:b/>
          <w:sz w:val="36"/>
          <w:szCs w:val="36"/>
        </w:rPr>
        <w:t xml:space="preserve"> Terms of reference</w:t>
      </w:r>
    </w:p>
    <w:p w14:paraId="079E81FD" w14:textId="1B0BE3B5" w:rsidR="00E06F93" w:rsidRPr="009827C2" w:rsidRDefault="00E06F93" w:rsidP="00E06F93">
      <w:pPr>
        <w:rPr>
          <w:b/>
          <w:bCs/>
        </w:rPr>
      </w:pPr>
    </w:p>
    <w:p w14:paraId="322B5AA4" w14:textId="44410EC8" w:rsidR="00832DB4" w:rsidRPr="009827C2" w:rsidRDefault="00832DB4" w:rsidP="00E06F93">
      <w:pPr>
        <w:rPr>
          <w:b/>
          <w:bCs/>
        </w:rPr>
      </w:pPr>
    </w:p>
    <w:p w14:paraId="0EE0FA42" w14:textId="67ED6328" w:rsidR="00832DB4" w:rsidRPr="009827C2" w:rsidRDefault="00832DB4" w:rsidP="00E06F93">
      <w:pPr>
        <w:rPr>
          <w:b/>
          <w:bCs/>
        </w:rPr>
      </w:pPr>
    </w:p>
    <w:p w14:paraId="1901E3AE" w14:textId="78883E22" w:rsidR="00832DB4" w:rsidRPr="009827C2" w:rsidRDefault="00832DB4" w:rsidP="00E06F93">
      <w:pPr>
        <w:rPr>
          <w:b/>
          <w:bCs/>
        </w:rPr>
      </w:pPr>
    </w:p>
    <w:p w14:paraId="1DC499D6" w14:textId="1A4E6768" w:rsidR="00832DB4" w:rsidRPr="009827C2" w:rsidRDefault="00832DB4" w:rsidP="00E06F93">
      <w:pPr>
        <w:rPr>
          <w:b/>
          <w:bCs/>
        </w:rPr>
      </w:pPr>
    </w:p>
    <w:p w14:paraId="4CE1D141" w14:textId="0E25879A" w:rsidR="00832DB4" w:rsidRPr="009827C2" w:rsidRDefault="00832DB4" w:rsidP="00E06F93">
      <w:pPr>
        <w:rPr>
          <w:b/>
          <w:bCs/>
        </w:rPr>
      </w:pPr>
    </w:p>
    <w:p w14:paraId="50CFE261" w14:textId="522C8F5C" w:rsidR="00832DB4" w:rsidRPr="009827C2" w:rsidRDefault="00832DB4" w:rsidP="00E06F93">
      <w:pPr>
        <w:rPr>
          <w:b/>
          <w:bCs/>
        </w:rPr>
      </w:pPr>
    </w:p>
    <w:p w14:paraId="12849A63" w14:textId="042372E7" w:rsidR="00832DB4" w:rsidRPr="009827C2" w:rsidRDefault="00832DB4" w:rsidP="00E06F93">
      <w:pPr>
        <w:rPr>
          <w:b/>
          <w:bCs/>
        </w:rPr>
      </w:pPr>
    </w:p>
    <w:p w14:paraId="5EFBBE77" w14:textId="7AC6BE0F" w:rsidR="00832DB4" w:rsidRPr="009827C2" w:rsidRDefault="00832DB4" w:rsidP="00E06F93">
      <w:pPr>
        <w:rPr>
          <w:b/>
          <w:bCs/>
        </w:rPr>
      </w:pPr>
    </w:p>
    <w:p w14:paraId="357635B1" w14:textId="12F6A50A" w:rsidR="00832DB4" w:rsidRPr="009827C2" w:rsidRDefault="00832DB4" w:rsidP="00E06F93">
      <w:pPr>
        <w:rPr>
          <w:b/>
          <w:bCs/>
        </w:rPr>
      </w:pPr>
    </w:p>
    <w:p w14:paraId="1B262D07" w14:textId="229A2875" w:rsidR="00832DB4" w:rsidRPr="009827C2" w:rsidRDefault="00832DB4" w:rsidP="00E06F93">
      <w:pPr>
        <w:rPr>
          <w:b/>
          <w:bCs/>
        </w:rPr>
      </w:pPr>
    </w:p>
    <w:p w14:paraId="0F0ECBDA" w14:textId="45AF1847" w:rsidR="00832DB4" w:rsidRPr="009827C2" w:rsidRDefault="00832DB4" w:rsidP="00E06F93">
      <w:pPr>
        <w:rPr>
          <w:b/>
          <w:bCs/>
        </w:rPr>
      </w:pPr>
    </w:p>
    <w:p w14:paraId="69432A77" w14:textId="50C10CCB" w:rsidR="00832DB4" w:rsidRPr="009827C2" w:rsidRDefault="00832DB4" w:rsidP="00E06F93">
      <w:pPr>
        <w:rPr>
          <w:b/>
          <w:bCs/>
        </w:rPr>
      </w:pPr>
    </w:p>
    <w:p w14:paraId="1914A15D" w14:textId="477F298D" w:rsidR="00832DB4" w:rsidRPr="009827C2" w:rsidRDefault="00832DB4" w:rsidP="00E06F93">
      <w:pPr>
        <w:rPr>
          <w:b/>
          <w:bCs/>
        </w:rPr>
      </w:pPr>
    </w:p>
    <w:p w14:paraId="7469EBF9" w14:textId="1E8EA2ED" w:rsidR="00832DB4" w:rsidRPr="009827C2" w:rsidRDefault="00832DB4" w:rsidP="00E06F93">
      <w:pPr>
        <w:rPr>
          <w:b/>
          <w:bCs/>
        </w:rPr>
      </w:pPr>
    </w:p>
    <w:p w14:paraId="610D0E20" w14:textId="4CE3CC06" w:rsidR="00832DB4" w:rsidRPr="009827C2" w:rsidRDefault="00832DB4" w:rsidP="00E06F93">
      <w:pPr>
        <w:rPr>
          <w:b/>
          <w:bCs/>
        </w:rPr>
      </w:pPr>
    </w:p>
    <w:p w14:paraId="5A16D952" w14:textId="399C0225" w:rsidR="00832DB4" w:rsidRPr="009827C2" w:rsidRDefault="00832DB4" w:rsidP="00E06F93">
      <w:pPr>
        <w:rPr>
          <w:b/>
          <w:bCs/>
        </w:rPr>
      </w:pPr>
    </w:p>
    <w:p w14:paraId="310B19BD" w14:textId="11E72867" w:rsidR="00832DB4" w:rsidRPr="009827C2" w:rsidRDefault="00832DB4" w:rsidP="00E06F93">
      <w:pPr>
        <w:rPr>
          <w:b/>
          <w:bCs/>
        </w:rPr>
      </w:pPr>
    </w:p>
    <w:p w14:paraId="6C05A87E" w14:textId="301DE901" w:rsidR="00832DB4" w:rsidRPr="009827C2" w:rsidRDefault="00832DB4" w:rsidP="00E06F93">
      <w:pPr>
        <w:rPr>
          <w:b/>
          <w:bCs/>
        </w:rPr>
      </w:pPr>
    </w:p>
    <w:p w14:paraId="06808F54" w14:textId="0D073354" w:rsidR="00832DB4" w:rsidRPr="009827C2" w:rsidRDefault="00832DB4" w:rsidP="00E06F93">
      <w:pPr>
        <w:rPr>
          <w:b/>
          <w:bCs/>
        </w:rPr>
      </w:pPr>
    </w:p>
    <w:p w14:paraId="6848DEA0" w14:textId="4E919A68" w:rsidR="00832DB4" w:rsidRPr="009827C2" w:rsidRDefault="00832DB4" w:rsidP="00E06F93">
      <w:pPr>
        <w:rPr>
          <w:b/>
          <w:bCs/>
        </w:rPr>
      </w:pPr>
    </w:p>
    <w:p w14:paraId="42DD7268" w14:textId="447AC577" w:rsidR="00832DB4" w:rsidRPr="009827C2" w:rsidRDefault="00832DB4" w:rsidP="00E06F93">
      <w:pPr>
        <w:rPr>
          <w:b/>
          <w:bCs/>
        </w:rPr>
      </w:pPr>
    </w:p>
    <w:p w14:paraId="34F63D39" w14:textId="65978920" w:rsidR="00832DB4" w:rsidRPr="009827C2" w:rsidRDefault="00832DB4" w:rsidP="00E06F93">
      <w:pPr>
        <w:rPr>
          <w:b/>
          <w:bCs/>
        </w:rPr>
      </w:pPr>
    </w:p>
    <w:p w14:paraId="01746D2A" w14:textId="6A8CA43F" w:rsidR="00832DB4" w:rsidRPr="009827C2" w:rsidRDefault="00832DB4" w:rsidP="00E06F93">
      <w:pPr>
        <w:rPr>
          <w:b/>
          <w:bCs/>
        </w:rPr>
      </w:pPr>
    </w:p>
    <w:p w14:paraId="3085E360" w14:textId="1B709AB1" w:rsidR="00832DB4" w:rsidRPr="009827C2" w:rsidRDefault="00832DB4" w:rsidP="00E06F93">
      <w:pPr>
        <w:rPr>
          <w:b/>
          <w:bCs/>
        </w:rPr>
      </w:pPr>
    </w:p>
    <w:p w14:paraId="49EB3059" w14:textId="5EAA9B13" w:rsidR="00832DB4" w:rsidRPr="009827C2" w:rsidRDefault="00832DB4" w:rsidP="00E06F93">
      <w:pPr>
        <w:rPr>
          <w:b/>
          <w:bCs/>
        </w:rPr>
      </w:pPr>
    </w:p>
    <w:p w14:paraId="520C1273" w14:textId="342CAADB" w:rsidR="00832DB4" w:rsidRPr="009827C2" w:rsidRDefault="00832DB4" w:rsidP="00E06F93">
      <w:pPr>
        <w:rPr>
          <w:b/>
          <w:bCs/>
        </w:rPr>
      </w:pPr>
    </w:p>
    <w:p w14:paraId="30A36EAC" w14:textId="08D99188" w:rsidR="00832DB4" w:rsidRPr="009827C2" w:rsidRDefault="00832DB4" w:rsidP="00E06F93">
      <w:pPr>
        <w:rPr>
          <w:b/>
          <w:bCs/>
        </w:rPr>
      </w:pPr>
    </w:p>
    <w:p w14:paraId="1DB0C81A" w14:textId="21F9620B" w:rsidR="00832DB4" w:rsidRPr="009827C2" w:rsidRDefault="00832DB4" w:rsidP="00E06F93">
      <w:pPr>
        <w:rPr>
          <w:b/>
          <w:bCs/>
        </w:rPr>
      </w:pPr>
    </w:p>
    <w:p w14:paraId="7732F63E" w14:textId="791D95D7" w:rsidR="00832DB4" w:rsidRPr="009827C2" w:rsidRDefault="00832DB4" w:rsidP="00E06F93">
      <w:pPr>
        <w:rPr>
          <w:b/>
          <w:bCs/>
        </w:rPr>
      </w:pPr>
    </w:p>
    <w:p w14:paraId="7F0A59E7" w14:textId="77777777" w:rsidR="00832DB4" w:rsidRPr="009827C2" w:rsidRDefault="00832DB4" w:rsidP="00E06F93">
      <w:pPr>
        <w:rPr>
          <w:b/>
          <w:bCs/>
        </w:rPr>
      </w:pPr>
    </w:p>
    <w:sdt>
      <w:sdtPr>
        <w:rPr>
          <w:rFonts w:eastAsiaTheme="minorHAnsi" w:cs="Arial"/>
          <w:b w:val="0"/>
          <w:bCs w:val="0"/>
          <w:sz w:val="24"/>
          <w:szCs w:val="24"/>
          <w:lang w:val="en-GB" w:eastAsia="en-US"/>
        </w:rPr>
        <w:id w:val="-306250321"/>
        <w:docPartObj>
          <w:docPartGallery w:val="Table of Contents"/>
          <w:docPartUnique/>
        </w:docPartObj>
      </w:sdtPr>
      <w:sdtEndPr>
        <w:rPr>
          <w:noProof/>
        </w:rPr>
      </w:sdtEndPr>
      <w:sdtContent>
        <w:p w14:paraId="66ED798F" w14:textId="77777777" w:rsidR="00E06F93" w:rsidRPr="009827C2" w:rsidRDefault="00E06F93" w:rsidP="00E06F93">
          <w:pPr>
            <w:pStyle w:val="TOCHeading"/>
            <w:rPr>
              <w:rFonts w:cs="Arial"/>
              <w:sz w:val="24"/>
              <w:szCs w:val="24"/>
            </w:rPr>
          </w:pPr>
          <w:r w:rsidRPr="009827C2">
            <w:rPr>
              <w:rFonts w:cs="Arial"/>
              <w:sz w:val="24"/>
              <w:szCs w:val="24"/>
            </w:rPr>
            <w:t>Table of Contents</w:t>
          </w:r>
        </w:p>
        <w:p w14:paraId="06852AA3" w14:textId="670BC82D" w:rsidR="00A73D41" w:rsidRPr="009827C2" w:rsidRDefault="00A73D41">
          <w:pPr>
            <w:pStyle w:val="TOC1"/>
            <w:tabs>
              <w:tab w:val="right" w:leader="dot" w:pos="9016"/>
            </w:tabs>
            <w:rPr>
              <w:rFonts w:ascii="Arial" w:eastAsiaTheme="minorEastAsia" w:hAnsi="Arial" w:cs="Arial"/>
              <w:b w:val="0"/>
              <w:bCs w:val="0"/>
              <w:noProof/>
              <w:sz w:val="24"/>
              <w:szCs w:val="24"/>
              <w:lang w:eastAsia="en-GB"/>
            </w:rPr>
          </w:pPr>
          <w:r w:rsidRPr="009827C2">
            <w:rPr>
              <w:rFonts w:ascii="Arial" w:hAnsi="Arial" w:cs="Arial"/>
              <w:caps/>
              <w:sz w:val="24"/>
              <w:szCs w:val="24"/>
            </w:rPr>
            <w:fldChar w:fldCharType="begin"/>
          </w:r>
          <w:r w:rsidRPr="009827C2">
            <w:rPr>
              <w:rFonts w:ascii="Arial" w:hAnsi="Arial" w:cs="Arial"/>
              <w:caps/>
              <w:sz w:val="24"/>
              <w:szCs w:val="24"/>
            </w:rPr>
            <w:instrText xml:space="preserve"> TOC \o "1-2" \h \z \u </w:instrText>
          </w:r>
          <w:r w:rsidRPr="009827C2">
            <w:rPr>
              <w:rFonts w:ascii="Arial" w:hAnsi="Arial" w:cs="Arial"/>
              <w:caps/>
              <w:sz w:val="24"/>
              <w:szCs w:val="24"/>
            </w:rPr>
            <w:fldChar w:fldCharType="separate"/>
          </w:r>
          <w:hyperlink w:anchor="_Toc129940289" w:history="1">
            <w:r w:rsidRPr="009827C2">
              <w:rPr>
                <w:rStyle w:val="Hyperlink"/>
                <w:rFonts w:ascii="Arial" w:hAnsi="Arial" w:cs="Arial"/>
                <w:noProof/>
                <w:sz w:val="24"/>
                <w:szCs w:val="24"/>
              </w:rPr>
              <w:t>Establishment</w:t>
            </w:r>
            <w:r w:rsidRPr="009827C2">
              <w:rPr>
                <w:rFonts w:ascii="Arial" w:hAnsi="Arial" w:cs="Arial"/>
                <w:noProof/>
                <w:webHidden/>
                <w:sz w:val="24"/>
                <w:szCs w:val="24"/>
              </w:rPr>
              <w:tab/>
            </w:r>
            <w:r w:rsidRPr="009827C2">
              <w:rPr>
                <w:rFonts w:ascii="Arial" w:hAnsi="Arial" w:cs="Arial"/>
                <w:noProof/>
                <w:webHidden/>
                <w:sz w:val="24"/>
                <w:szCs w:val="24"/>
              </w:rPr>
              <w:fldChar w:fldCharType="begin"/>
            </w:r>
            <w:r w:rsidRPr="009827C2">
              <w:rPr>
                <w:rFonts w:ascii="Arial" w:hAnsi="Arial" w:cs="Arial"/>
                <w:noProof/>
                <w:webHidden/>
                <w:sz w:val="24"/>
                <w:szCs w:val="24"/>
              </w:rPr>
              <w:instrText xml:space="preserve"> PAGEREF _Toc129940289 \h </w:instrText>
            </w:r>
            <w:r w:rsidRPr="009827C2">
              <w:rPr>
                <w:rFonts w:ascii="Arial" w:hAnsi="Arial" w:cs="Arial"/>
                <w:noProof/>
                <w:webHidden/>
                <w:sz w:val="24"/>
                <w:szCs w:val="24"/>
              </w:rPr>
            </w:r>
            <w:r w:rsidRPr="009827C2">
              <w:rPr>
                <w:rFonts w:ascii="Arial" w:hAnsi="Arial" w:cs="Arial"/>
                <w:noProof/>
                <w:webHidden/>
                <w:sz w:val="24"/>
                <w:szCs w:val="24"/>
              </w:rPr>
              <w:fldChar w:fldCharType="separate"/>
            </w:r>
            <w:r w:rsidR="00EC1E79">
              <w:rPr>
                <w:rFonts w:ascii="Arial" w:hAnsi="Arial" w:cs="Arial"/>
                <w:noProof/>
                <w:webHidden/>
                <w:sz w:val="24"/>
                <w:szCs w:val="24"/>
              </w:rPr>
              <w:t>3</w:t>
            </w:r>
            <w:r w:rsidRPr="009827C2">
              <w:rPr>
                <w:rFonts w:ascii="Arial" w:hAnsi="Arial" w:cs="Arial"/>
                <w:noProof/>
                <w:webHidden/>
                <w:sz w:val="24"/>
                <w:szCs w:val="24"/>
              </w:rPr>
              <w:fldChar w:fldCharType="end"/>
            </w:r>
          </w:hyperlink>
        </w:p>
        <w:p w14:paraId="3DC15F9E" w14:textId="3E5E307E" w:rsidR="00A73D41" w:rsidRPr="009827C2" w:rsidRDefault="00E15E3C">
          <w:pPr>
            <w:pStyle w:val="TOC2"/>
            <w:tabs>
              <w:tab w:val="right" w:leader="dot" w:pos="9016"/>
            </w:tabs>
            <w:rPr>
              <w:rFonts w:ascii="Arial" w:eastAsiaTheme="minorEastAsia" w:hAnsi="Arial" w:cs="Arial"/>
              <w:i w:val="0"/>
              <w:iCs w:val="0"/>
              <w:noProof/>
              <w:sz w:val="24"/>
              <w:szCs w:val="24"/>
              <w:lang w:eastAsia="en-GB"/>
            </w:rPr>
          </w:pPr>
          <w:hyperlink w:anchor="_Toc129940290" w:history="1">
            <w:r w:rsidR="00A73D41" w:rsidRPr="009827C2">
              <w:rPr>
                <w:rStyle w:val="Hyperlink"/>
                <w:rFonts w:ascii="Arial" w:hAnsi="Arial" w:cs="Arial"/>
                <w:i w:val="0"/>
                <w:iCs w:val="0"/>
                <w:noProof/>
                <w:sz w:val="24"/>
                <w:szCs w:val="24"/>
              </w:rPr>
              <w:t>Terms of reference:</w:t>
            </w:r>
            <w:r w:rsidR="00A73D41" w:rsidRPr="009827C2">
              <w:rPr>
                <w:rFonts w:ascii="Arial" w:hAnsi="Arial" w:cs="Arial"/>
                <w:i w:val="0"/>
                <w:iCs w:val="0"/>
                <w:noProof/>
                <w:webHidden/>
                <w:sz w:val="24"/>
                <w:szCs w:val="24"/>
              </w:rPr>
              <w:tab/>
            </w:r>
            <w:r w:rsidR="00A73D41" w:rsidRPr="009827C2">
              <w:rPr>
                <w:rFonts w:ascii="Arial" w:hAnsi="Arial" w:cs="Arial"/>
                <w:i w:val="0"/>
                <w:iCs w:val="0"/>
                <w:noProof/>
                <w:webHidden/>
                <w:sz w:val="24"/>
                <w:szCs w:val="24"/>
              </w:rPr>
              <w:fldChar w:fldCharType="begin"/>
            </w:r>
            <w:r w:rsidR="00A73D41" w:rsidRPr="009827C2">
              <w:rPr>
                <w:rFonts w:ascii="Arial" w:hAnsi="Arial" w:cs="Arial"/>
                <w:i w:val="0"/>
                <w:iCs w:val="0"/>
                <w:noProof/>
                <w:webHidden/>
                <w:sz w:val="24"/>
                <w:szCs w:val="24"/>
              </w:rPr>
              <w:instrText xml:space="preserve"> PAGEREF _Toc129940290 \h </w:instrText>
            </w:r>
            <w:r w:rsidR="00A73D41" w:rsidRPr="009827C2">
              <w:rPr>
                <w:rFonts w:ascii="Arial" w:hAnsi="Arial" w:cs="Arial"/>
                <w:i w:val="0"/>
                <w:iCs w:val="0"/>
                <w:noProof/>
                <w:webHidden/>
                <w:sz w:val="24"/>
                <w:szCs w:val="24"/>
              </w:rPr>
            </w:r>
            <w:r w:rsidR="00A73D41" w:rsidRPr="009827C2">
              <w:rPr>
                <w:rFonts w:ascii="Arial" w:hAnsi="Arial" w:cs="Arial"/>
                <w:i w:val="0"/>
                <w:iCs w:val="0"/>
                <w:noProof/>
                <w:webHidden/>
                <w:sz w:val="24"/>
                <w:szCs w:val="24"/>
              </w:rPr>
              <w:fldChar w:fldCharType="separate"/>
            </w:r>
            <w:r w:rsidR="00EC1E79">
              <w:rPr>
                <w:rFonts w:ascii="Arial" w:hAnsi="Arial" w:cs="Arial"/>
                <w:i w:val="0"/>
                <w:iCs w:val="0"/>
                <w:noProof/>
                <w:webHidden/>
                <w:sz w:val="24"/>
                <w:szCs w:val="24"/>
              </w:rPr>
              <w:t>3</w:t>
            </w:r>
            <w:r w:rsidR="00A73D41" w:rsidRPr="009827C2">
              <w:rPr>
                <w:rFonts w:ascii="Arial" w:hAnsi="Arial" w:cs="Arial"/>
                <w:i w:val="0"/>
                <w:iCs w:val="0"/>
                <w:noProof/>
                <w:webHidden/>
                <w:sz w:val="24"/>
                <w:szCs w:val="24"/>
              </w:rPr>
              <w:fldChar w:fldCharType="end"/>
            </w:r>
          </w:hyperlink>
        </w:p>
        <w:p w14:paraId="3E7E1747" w14:textId="79C8DA9F" w:rsidR="00A73D41" w:rsidRPr="009827C2" w:rsidRDefault="00E15E3C">
          <w:pPr>
            <w:pStyle w:val="TOC2"/>
            <w:tabs>
              <w:tab w:val="right" w:leader="dot" w:pos="9016"/>
            </w:tabs>
            <w:rPr>
              <w:rFonts w:ascii="Arial" w:eastAsiaTheme="minorEastAsia" w:hAnsi="Arial" w:cs="Arial"/>
              <w:i w:val="0"/>
              <w:iCs w:val="0"/>
              <w:noProof/>
              <w:sz w:val="24"/>
              <w:szCs w:val="24"/>
              <w:lang w:eastAsia="en-GB"/>
            </w:rPr>
          </w:pPr>
          <w:hyperlink w:anchor="_Toc129940291" w:history="1">
            <w:r w:rsidR="00A73D41" w:rsidRPr="009827C2">
              <w:rPr>
                <w:rStyle w:val="Hyperlink"/>
                <w:rFonts w:ascii="Arial" w:hAnsi="Arial" w:cs="Arial"/>
                <w:i w:val="0"/>
                <w:iCs w:val="0"/>
                <w:noProof/>
                <w:sz w:val="24"/>
                <w:szCs w:val="24"/>
              </w:rPr>
              <w:t>Purpose</w:t>
            </w:r>
            <w:r w:rsidR="00A73D41" w:rsidRPr="009827C2">
              <w:rPr>
                <w:rFonts w:ascii="Arial" w:hAnsi="Arial" w:cs="Arial"/>
                <w:i w:val="0"/>
                <w:iCs w:val="0"/>
                <w:noProof/>
                <w:webHidden/>
                <w:sz w:val="24"/>
                <w:szCs w:val="24"/>
              </w:rPr>
              <w:tab/>
            </w:r>
            <w:r w:rsidR="00A73D41" w:rsidRPr="009827C2">
              <w:rPr>
                <w:rFonts w:ascii="Arial" w:hAnsi="Arial" w:cs="Arial"/>
                <w:i w:val="0"/>
                <w:iCs w:val="0"/>
                <w:noProof/>
                <w:webHidden/>
                <w:sz w:val="24"/>
                <w:szCs w:val="24"/>
              </w:rPr>
              <w:fldChar w:fldCharType="begin"/>
            </w:r>
            <w:r w:rsidR="00A73D41" w:rsidRPr="009827C2">
              <w:rPr>
                <w:rFonts w:ascii="Arial" w:hAnsi="Arial" w:cs="Arial"/>
                <w:i w:val="0"/>
                <w:iCs w:val="0"/>
                <w:noProof/>
                <w:webHidden/>
                <w:sz w:val="24"/>
                <w:szCs w:val="24"/>
              </w:rPr>
              <w:instrText xml:space="preserve"> PAGEREF _Toc129940291 \h </w:instrText>
            </w:r>
            <w:r w:rsidR="00A73D41" w:rsidRPr="009827C2">
              <w:rPr>
                <w:rFonts w:ascii="Arial" w:hAnsi="Arial" w:cs="Arial"/>
                <w:i w:val="0"/>
                <w:iCs w:val="0"/>
                <w:noProof/>
                <w:webHidden/>
                <w:sz w:val="24"/>
                <w:szCs w:val="24"/>
              </w:rPr>
            </w:r>
            <w:r w:rsidR="00A73D41" w:rsidRPr="009827C2">
              <w:rPr>
                <w:rFonts w:ascii="Arial" w:hAnsi="Arial" w:cs="Arial"/>
                <w:i w:val="0"/>
                <w:iCs w:val="0"/>
                <w:noProof/>
                <w:webHidden/>
                <w:sz w:val="24"/>
                <w:szCs w:val="24"/>
              </w:rPr>
              <w:fldChar w:fldCharType="separate"/>
            </w:r>
            <w:r w:rsidR="00EC1E79">
              <w:rPr>
                <w:rFonts w:ascii="Arial" w:hAnsi="Arial" w:cs="Arial"/>
                <w:i w:val="0"/>
                <w:iCs w:val="0"/>
                <w:noProof/>
                <w:webHidden/>
                <w:sz w:val="24"/>
                <w:szCs w:val="24"/>
              </w:rPr>
              <w:t>3</w:t>
            </w:r>
            <w:r w:rsidR="00A73D41" w:rsidRPr="009827C2">
              <w:rPr>
                <w:rFonts w:ascii="Arial" w:hAnsi="Arial" w:cs="Arial"/>
                <w:i w:val="0"/>
                <w:iCs w:val="0"/>
                <w:noProof/>
                <w:webHidden/>
                <w:sz w:val="24"/>
                <w:szCs w:val="24"/>
              </w:rPr>
              <w:fldChar w:fldCharType="end"/>
            </w:r>
          </w:hyperlink>
        </w:p>
        <w:p w14:paraId="064FC155" w14:textId="7C7E26FE" w:rsidR="00A73D41" w:rsidRPr="009827C2" w:rsidRDefault="00E15E3C">
          <w:pPr>
            <w:pStyle w:val="TOC1"/>
            <w:tabs>
              <w:tab w:val="right" w:leader="dot" w:pos="9016"/>
            </w:tabs>
            <w:rPr>
              <w:rFonts w:ascii="Arial" w:eastAsiaTheme="minorEastAsia" w:hAnsi="Arial" w:cs="Arial"/>
              <w:b w:val="0"/>
              <w:bCs w:val="0"/>
              <w:noProof/>
              <w:sz w:val="24"/>
              <w:szCs w:val="24"/>
              <w:lang w:eastAsia="en-GB"/>
            </w:rPr>
          </w:pPr>
          <w:hyperlink w:anchor="_Toc129940292" w:history="1">
            <w:r w:rsidR="00A73D41" w:rsidRPr="009827C2">
              <w:rPr>
                <w:rStyle w:val="Hyperlink"/>
                <w:rFonts w:ascii="Arial" w:hAnsi="Arial" w:cs="Arial"/>
                <w:noProof/>
                <w:sz w:val="24"/>
                <w:szCs w:val="24"/>
              </w:rPr>
              <w:t>Roles and responsibilities</w:t>
            </w:r>
            <w:r w:rsidR="00A73D41" w:rsidRPr="009827C2">
              <w:rPr>
                <w:rFonts w:ascii="Arial" w:hAnsi="Arial" w:cs="Arial"/>
                <w:noProof/>
                <w:webHidden/>
                <w:sz w:val="24"/>
                <w:szCs w:val="24"/>
              </w:rPr>
              <w:tab/>
            </w:r>
            <w:r w:rsidR="00A73D41" w:rsidRPr="009827C2">
              <w:rPr>
                <w:rFonts w:ascii="Arial" w:hAnsi="Arial" w:cs="Arial"/>
                <w:noProof/>
                <w:webHidden/>
                <w:sz w:val="24"/>
                <w:szCs w:val="24"/>
              </w:rPr>
              <w:fldChar w:fldCharType="begin"/>
            </w:r>
            <w:r w:rsidR="00A73D41" w:rsidRPr="009827C2">
              <w:rPr>
                <w:rFonts w:ascii="Arial" w:hAnsi="Arial" w:cs="Arial"/>
                <w:noProof/>
                <w:webHidden/>
                <w:sz w:val="24"/>
                <w:szCs w:val="24"/>
              </w:rPr>
              <w:instrText xml:space="preserve"> PAGEREF _Toc129940292 \h </w:instrText>
            </w:r>
            <w:r w:rsidR="00A73D41" w:rsidRPr="009827C2">
              <w:rPr>
                <w:rFonts w:ascii="Arial" w:hAnsi="Arial" w:cs="Arial"/>
                <w:noProof/>
                <w:webHidden/>
                <w:sz w:val="24"/>
                <w:szCs w:val="24"/>
              </w:rPr>
            </w:r>
            <w:r w:rsidR="00A73D41" w:rsidRPr="009827C2">
              <w:rPr>
                <w:rFonts w:ascii="Arial" w:hAnsi="Arial" w:cs="Arial"/>
                <w:noProof/>
                <w:webHidden/>
                <w:sz w:val="24"/>
                <w:szCs w:val="24"/>
              </w:rPr>
              <w:fldChar w:fldCharType="separate"/>
            </w:r>
            <w:r w:rsidR="00EC1E79">
              <w:rPr>
                <w:rFonts w:ascii="Arial" w:hAnsi="Arial" w:cs="Arial"/>
                <w:noProof/>
                <w:webHidden/>
                <w:sz w:val="24"/>
                <w:szCs w:val="24"/>
              </w:rPr>
              <w:t>3</w:t>
            </w:r>
            <w:r w:rsidR="00A73D41" w:rsidRPr="009827C2">
              <w:rPr>
                <w:rFonts w:ascii="Arial" w:hAnsi="Arial" w:cs="Arial"/>
                <w:noProof/>
                <w:webHidden/>
                <w:sz w:val="24"/>
                <w:szCs w:val="24"/>
              </w:rPr>
              <w:fldChar w:fldCharType="end"/>
            </w:r>
          </w:hyperlink>
        </w:p>
        <w:p w14:paraId="3CB898BF" w14:textId="49D87AA7" w:rsidR="00A73D41" w:rsidRPr="009827C2" w:rsidRDefault="00E15E3C">
          <w:pPr>
            <w:pStyle w:val="TOC2"/>
            <w:tabs>
              <w:tab w:val="right" w:leader="dot" w:pos="9016"/>
            </w:tabs>
            <w:rPr>
              <w:rFonts w:ascii="Arial" w:eastAsiaTheme="minorEastAsia" w:hAnsi="Arial" w:cs="Arial"/>
              <w:i w:val="0"/>
              <w:iCs w:val="0"/>
              <w:noProof/>
              <w:sz w:val="24"/>
              <w:szCs w:val="24"/>
              <w:lang w:eastAsia="en-GB"/>
            </w:rPr>
          </w:pPr>
          <w:hyperlink w:anchor="_Toc129940293" w:history="1">
            <w:r w:rsidR="00A73D41" w:rsidRPr="009827C2">
              <w:rPr>
                <w:rStyle w:val="Hyperlink"/>
                <w:rFonts w:ascii="Arial" w:hAnsi="Arial" w:cs="Arial"/>
                <w:i w:val="0"/>
                <w:iCs w:val="0"/>
                <w:noProof/>
                <w:sz w:val="24"/>
                <w:szCs w:val="24"/>
              </w:rPr>
              <w:t>Duties</w:t>
            </w:r>
            <w:r w:rsidR="00A73D41" w:rsidRPr="009827C2">
              <w:rPr>
                <w:rFonts w:ascii="Arial" w:hAnsi="Arial" w:cs="Arial"/>
                <w:i w:val="0"/>
                <w:iCs w:val="0"/>
                <w:noProof/>
                <w:webHidden/>
                <w:sz w:val="24"/>
                <w:szCs w:val="24"/>
              </w:rPr>
              <w:tab/>
            </w:r>
            <w:r w:rsidR="00A73D41" w:rsidRPr="009827C2">
              <w:rPr>
                <w:rFonts w:ascii="Arial" w:hAnsi="Arial" w:cs="Arial"/>
                <w:i w:val="0"/>
                <w:iCs w:val="0"/>
                <w:noProof/>
                <w:webHidden/>
                <w:sz w:val="24"/>
                <w:szCs w:val="24"/>
              </w:rPr>
              <w:fldChar w:fldCharType="begin"/>
            </w:r>
            <w:r w:rsidR="00A73D41" w:rsidRPr="009827C2">
              <w:rPr>
                <w:rFonts w:ascii="Arial" w:hAnsi="Arial" w:cs="Arial"/>
                <w:i w:val="0"/>
                <w:iCs w:val="0"/>
                <w:noProof/>
                <w:webHidden/>
                <w:sz w:val="24"/>
                <w:szCs w:val="24"/>
              </w:rPr>
              <w:instrText xml:space="preserve"> PAGEREF _Toc129940293 \h </w:instrText>
            </w:r>
            <w:r w:rsidR="00A73D41" w:rsidRPr="009827C2">
              <w:rPr>
                <w:rFonts w:ascii="Arial" w:hAnsi="Arial" w:cs="Arial"/>
                <w:i w:val="0"/>
                <w:iCs w:val="0"/>
                <w:noProof/>
                <w:webHidden/>
                <w:sz w:val="24"/>
                <w:szCs w:val="24"/>
              </w:rPr>
            </w:r>
            <w:r w:rsidR="00A73D41" w:rsidRPr="009827C2">
              <w:rPr>
                <w:rFonts w:ascii="Arial" w:hAnsi="Arial" w:cs="Arial"/>
                <w:i w:val="0"/>
                <w:iCs w:val="0"/>
                <w:noProof/>
                <w:webHidden/>
                <w:sz w:val="24"/>
                <w:szCs w:val="24"/>
              </w:rPr>
              <w:fldChar w:fldCharType="separate"/>
            </w:r>
            <w:r w:rsidR="00EC1E79">
              <w:rPr>
                <w:rFonts w:ascii="Arial" w:hAnsi="Arial" w:cs="Arial"/>
                <w:i w:val="0"/>
                <w:iCs w:val="0"/>
                <w:noProof/>
                <w:webHidden/>
                <w:sz w:val="24"/>
                <w:szCs w:val="24"/>
              </w:rPr>
              <w:t>3</w:t>
            </w:r>
            <w:r w:rsidR="00A73D41" w:rsidRPr="009827C2">
              <w:rPr>
                <w:rFonts w:ascii="Arial" w:hAnsi="Arial" w:cs="Arial"/>
                <w:i w:val="0"/>
                <w:iCs w:val="0"/>
                <w:noProof/>
                <w:webHidden/>
                <w:sz w:val="24"/>
                <w:szCs w:val="24"/>
              </w:rPr>
              <w:fldChar w:fldCharType="end"/>
            </w:r>
          </w:hyperlink>
        </w:p>
        <w:p w14:paraId="10C89A13" w14:textId="6C517E32" w:rsidR="00A73D41" w:rsidRPr="009827C2" w:rsidRDefault="00E15E3C">
          <w:pPr>
            <w:pStyle w:val="TOC2"/>
            <w:tabs>
              <w:tab w:val="right" w:leader="dot" w:pos="9016"/>
            </w:tabs>
            <w:rPr>
              <w:rFonts w:ascii="Arial" w:eastAsiaTheme="minorEastAsia" w:hAnsi="Arial" w:cs="Arial"/>
              <w:i w:val="0"/>
              <w:iCs w:val="0"/>
              <w:noProof/>
              <w:sz w:val="24"/>
              <w:szCs w:val="24"/>
              <w:lang w:eastAsia="en-GB"/>
            </w:rPr>
          </w:pPr>
          <w:hyperlink w:anchor="_Toc129940294" w:history="1">
            <w:r w:rsidR="00A73D41" w:rsidRPr="009827C2">
              <w:rPr>
                <w:rStyle w:val="Hyperlink"/>
                <w:rFonts w:ascii="Arial" w:hAnsi="Arial" w:cs="Arial"/>
                <w:i w:val="0"/>
                <w:iCs w:val="0"/>
                <w:noProof/>
                <w:sz w:val="24"/>
                <w:szCs w:val="24"/>
              </w:rPr>
              <w:t>Authority</w:t>
            </w:r>
            <w:r w:rsidR="00A73D41" w:rsidRPr="009827C2">
              <w:rPr>
                <w:rFonts w:ascii="Arial" w:hAnsi="Arial" w:cs="Arial"/>
                <w:i w:val="0"/>
                <w:iCs w:val="0"/>
                <w:noProof/>
                <w:webHidden/>
                <w:sz w:val="24"/>
                <w:szCs w:val="24"/>
              </w:rPr>
              <w:tab/>
            </w:r>
            <w:r w:rsidR="00A73D41" w:rsidRPr="009827C2">
              <w:rPr>
                <w:rFonts w:ascii="Arial" w:hAnsi="Arial" w:cs="Arial"/>
                <w:i w:val="0"/>
                <w:iCs w:val="0"/>
                <w:noProof/>
                <w:webHidden/>
                <w:sz w:val="24"/>
                <w:szCs w:val="24"/>
              </w:rPr>
              <w:fldChar w:fldCharType="begin"/>
            </w:r>
            <w:r w:rsidR="00A73D41" w:rsidRPr="009827C2">
              <w:rPr>
                <w:rFonts w:ascii="Arial" w:hAnsi="Arial" w:cs="Arial"/>
                <w:i w:val="0"/>
                <w:iCs w:val="0"/>
                <w:noProof/>
                <w:webHidden/>
                <w:sz w:val="24"/>
                <w:szCs w:val="24"/>
              </w:rPr>
              <w:instrText xml:space="preserve"> PAGEREF _Toc129940294 \h </w:instrText>
            </w:r>
            <w:r w:rsidR="00A73D41" w:rsidRPr="009827C2">
              <w:rPr>
                <w:rFonts w:ascii="Arial" w:hAnsi="Arial" w:cs="Arial"/>
                <w:i w:val="0"/>
                <w:iCs w:val="0"/>
                <w:noProof/>
                <w:webHidden/>
                <w:sz w:val="24"/>
                <w:szCs w:val="24"/>
              </w:rPr>
            </w:r>
            <w:r w:rsidR="00A73D41" w:rsidRPr="009827C2">
              <w:rPr>
                <w:rFonts w:ascii="Arial" w:hAnsi="Arial" w:cs="Arial"/>
                <w:i w:val="0"/>
                <w:iCs w:val="0"/>
                <w:noProof/>
                <w:webHidden/>
                <w:sz w:val="24"/>
                <w:szCs w:val="24"/>
              </w:rPr>
              <w:fldChar w:fldCharType="separate"/>
            </w:r>
            <w:r w:rsidR="00EC1E79">
              <w:rPr>
                <w:rFonts w:ascii="Arial" w:hAnsi="Arial" w:cs="Arial"/>
                <w:i w:val="0"/>
                <w:iCs w:val="0"/>
                <w:noProof/>
                <w:webHidden/>
                <w:sz w:val="24"/>
                <w:szCs w:val="24"/>
              </w:rPr>
              <w:t>4</w:t>
            </w:r>
            <w:r w:rsidR="00A73D41" w:rsidRPr="009827C2">
              <w:rPr>
                <w:rFonts w:ascii="Arial" w:hAnsi="Arial" w:cs="Arial"/>
                <w:i w:val="0"/>
                <w:iCs w:val="0"/>
                <w:noProof/>
                <w:webHidden/>
                <w:sz w:val="24"/>
                <w:szCs w:val="24"/>
              </w:rPr>
              <w:fldChar w:fldCharType="end"/>
            </w:r>
          </w:hyperlink>
        </w:p>
        <w:p w14:paraId="7ACB97B3" w14:textId="6A381A7C" w:rsidR="00A73D41" w:rsidRPr="009827C2" w:rsidRDefault="00E15E3C">
          <w:pPr>
            <w:pStyle w:val="TOC2"/>
            <w:tabs>
              <w:tab w:val="right" w:leader="dot" w:pos="9016"/>
            </w:tabs>
            <w:rPr>
              <w:rFonts w:ascii="Arial" w:eastAsiaTheme="minorEastAsia" w:hAnsi="Arial" w:cs="Arial"/>
              <w:i w:val="0"/>
              <w:iCs w:val="0"/>
              <w:noProof/>
              <w:sz w:val="24"/>
              <w:szCs w:val="24"/>
              <w:lang w:eastAsia="en-GB"/>
            </w:rPr>
          </w:pPr>
          <w:hyperlink w:anchor="_Toc129940295" w:history="1">
            <w:r w:rsidR="00A73D41" w:rsidRPr="009827C2">
              <w:rPr>
                <w:rStyle w:val="Hyperlink"/>
                <w:rFonts w:ascii="Arial" w:hAnsi="Arial" w:cs="Arial"/>
                <w:i w:val="0"/>
                <w:iCs w:val="0"/>
                <w:noProof/>
                <w:sz w:val="24"/>
                <w:szCs w:val="24"/>
              </w:rPr>
              <w:t>Delegation by Scheme of Reservation &amp; Delegation (SoRD)</w:t>
            </w:r>
            <w:r w:rsidR="00A73D41" w:rsidRPr="009827C2">
              <w:rPr>
                <w:rFonts w:ascii="Arial" w:hAnsi="Arial" w:cs="Arial"/>
                <w:i w:val="0"/>
                <w:iCs w:val="0"/>
                <w:noProof/>
                <w:webHidden/>
                <w:sz w:val="24"/>
                <w:szCs w:val="24"/>
              </w:rPr>
              <w:tab/>
            </w:r>
            <w:r w:rsidR="00A73D41" w:rsidRPr="009827C2">
              <w:rPr>
                <w:rFonts w:ascii="Arial" w:hAnsi="Arial" w:cs="Arial"/>
                <w:i w:val="0"/>
                <w:iCs w:val="0"/>
                <w:noProof/>
                <w:webHidden/>
                <w:sz w:val="24"/>
                <w:szCs w:val="24"/>
              </w:rPr>
              <w:fldChar w:fldCharType="begin"/>
            </w:r>
            <w:r w:rsidR="00A73D41" w:rsidRPr="009827C2">
              <w:rPr>
                <w:rFonts w:ascii="Arial" w:hAnsi="Arial" w:cs="Arial"/>
                <w:i w:val="0"/>
                <w:iCs w:val="0"/>
                <w:noProof/>
                <w:webHidden/>
                <w:sz w:val="24"/>
                <w:szCs w:val="24"/>
              </w:rPr>
              <w:instrText xml:space="preserve"> PAGEREF _Toc129940295 \h </w:instrText>
            </w:r>
            <w:r w:rsidR="00A73D41" w:rsidRPr="009827C2">
              <w:rPr>
                <w:rFonts w:ascii="Arial" w:hAnsi="Arial" w:cs="Arial"/>
                <w:i w:val="0"/>
                <w:iCs w:val="0"/>
                <w:noProof/>
                <w:webHidden/>
                <w:sz w:val="24"/>
                <w:szCs w:val="24"/>
              </w:rPr>
              <w:fldChar w:fldCharType="separate"/>
            </w:r>
            <w:r w:rsidR="00EC1E79">
              <w:rPr>
                <w:rFonts w:ascii="Arial" w:hAnsi="Arial" w:cs="Arial"/>
                <w:b/>
                <w:bCs/>
                <w:i w:val="0"/>
                <w:iCs w:val="0"/>
                <w:noProof/>
                <w:webHidden/>
                <w:sz w:val="24"/>
                <w:szCs w:val="24"/>
                <w:lang w:val="en-US"/>
              </w:rPr>
              <w:t>Error! Bookmark not defined.</w:t>
            </w:r>
            <w:r w:rsidR="00A73D41" w:rsidRPr="009827C2">
              <w:rPr>
                <w:rFonts w:ascii="Arial" w:hAnsi="Arial" w:cs="Arial"/>
                <w:i w:val="0"/>
                <w:iCs w:val="0"/>
                <w:noProof/>
                <w:webHidden/>
                <w:sz w:val="24"/>
                <w:szCs w:val="24"/>
              </w:rPr>
              <w:fldChar w:fldCharType="end"/>
            </w:r>
          </w:hyperlink>
        </w:p>
        <w:p w14:paraId="6F87B532" w14:textId="5A1A7462" w:rsidR="00A73D41" w:rsidRPr="009827C2" w:rsidRDefault="00E15E3C">
          <w:pPr>
            <w:pStyle w:val="TOC2"/>
            <w:tabs>
              <w:tab w:val="right" w:leader="dot" w:pos="9016"/>
            </w:tabs>
            <w:rPr>
              <w:rFonts w:ascii="Arial" w:eastAsiaTheme="minorEastAsia" w:hAnsi="Arial" w:cs="Arial"/>
              <w:i w:val="0"/>
              <w:iCs w:val="0"/>
              <w:noProof/>
              <w:sz w:val="24"/>
              <w:szCs w:val="24"/>
              <w:lang w:eastAsia="en-GB"/>
            </w:rPr>
          </w:pPr>
          <w:hyperlink w:anchor="_Toc129940296" w:history="1">
            <w:r w:rsidR="00A73D41" w:rsidRPr="009827C2">
              <w:rPr>
                <w:rStyle w:val="Hyperlink"/>
                <w:rFonts w:ascii="Arial" w:hAnsi="Arial" w:cs="Arial"/>
                <w:i w:val="0"/>
                <w:iCs w:val="0"/>
                <w:noProof/>
                <w:sz w:val="24"/>
                <w:szCs w:val="24"/>
              </w:rPr>
              <w:t>Accountability and reporting</w:t>
            </w:r>
            <w:r w:rsidR="00A73D41" w:rsidRPr="009827C2">
              <w:rPr>
                <w:rFonts w:ascii="Arial" w:hAnsi="Arial" w:cs="Arial"/>
                <w:i w:val="0"/>
                <w:iCs w:val="0"/>
                <w:noProof/>
                <w:webHidden/>
                <w:sz w:val="24"/>
                <w:szCs w:val="24"/>
              </w:rPr>
              <w:tab/>
            </w:r>
            <w:r w:rsidR="00A73D41" w:rsidRPr="009827C2">
              <w:rPr>
                <w:rFonts w:ascii="Arial" w:hAnsi="Arial" w:cs="Arial"/>
                <w:i w:val="0"/>
                <w:iCs w:val="0"/>
                <w:noProof/>
                <w:webHidden/>
                <w:sz w:val="24"/>
                <w:szCs w:val="24"/>
              </w:rPr>
              <w:fldChar w:fldCharType="begin"/>
            </w:r>
            <w:r w:rsidR="00A73D41" w:rsidRPr="009827C2">
              <w:rPr>
                <w:rFonts w:ascii="Arial" w:hAnsi="Arial" w:cs="Arial"/>
                <w:i w:val="0"/>
                <w:iCs w:val="0"/>
                <w:noProof/>
                <w:webHidden/>
                <w:sz w:val="24"/>
                <w:szCs w:val="24"/>
              </w:rPr>
              <w:instrText xml:space="preserve"> PAGEREF _Toc129940296 \h </w:instrText>
            </w:r>
            <w:r w:rsidR="00A73D41" w:rsidRPr="009827C2">
              <w:rPr>
                <w:rFonts w:ascii="Arial" w:hAnsi="Arial" w:cs="Arial"/>
                <w:i w:val="0"/>
                <w:iCs w:val="0"/>
                <w:noProof/>
                <w:webHidden/>
                <w:sz w:val="24"/>
                <w:szCs w:val="24"/>
              </w:rPr>
            </w:r>
            <w:r w:rsidR="00A73D41" w:rsidRPr="009827C2">
              <w:rPr>
                <w:rFonts w:ascii="Arial" w:hAnsi="Arial" w:cs="Arial"/>
                <w:i w:val="0"/>
                <w:iCs w:val="0"/>
                <w:noProof/>
                <w:webHidden/>
                <w:sz w:val="24"/>
                <w:szCs w:val="24"/>
              </w:rPr>
              <w:fldChar w:fldCharType="separate"/>
            </w:r>
            <w:r w:rsidR="00EC1E79">
              <w:rPr>
                <w:rFonts w:ascii="Arial" w:hAnsi="Arial" w:cs="Arial"/>
                <w:i w:val="0"/>
                <w:iCs w:val="0"/>
                <w:noProof/>
                <w:webHidden/>
                <w:sz w:val="24"/>
                <w:szCs w:val="24"/>
              </w:rPr>
              <w:t>5</w:t>
            </w:r>
            <w:r w:rsidR="00A73D41" w:rsidRPr="009827C2">
              <w:rPr>
                <w:rFonts w:ascii="Arial" w:hAnsi="Arial" w:cs="Arial"/>
                <w:i w:val="0"/>
                <w:iCs w:val="0"/>
                <w:noProof/>
                <w:webHidden/>
                <w:sz w:val="24"/>
                <w:szCs w:val="24"/>
              </w:rPr>
              <w:fldChar w:fldCharType="end"/>
            </w:r>
          </w:hyperlink>
        </w:p>
        <w:p w14:paraId="443F3314" w14:textId="5C95BCF4" w:rsidR="00A73D41" w:rsidRPr="009827C2" w:rsidRDefault="00E15E3C">
          <w:pPr>
            <w:pStyle w:val="TOC1"/>
            <w:tabs>
              <w:tab w:val="right" w:leader="dot" w:pos="9016"/>
            </w:tabs>
            <w:rPr>
              <w:rFonts w:ascii="Arial" w:eastAsiaTheme="minorEastAsia" w:hAnsi="Arial" w:cs="Arial"/>
              <w:b w:val="0"/>
              <w:bCs w:val="0"/>
              <w:noProof/>
              <w:sz w:val="24"/>
              <w:szCs w:val="24"/>
              <w:lang w:eastAsia="en-GB"/>
            </w:rPr>
          </w:pPr>
          <w:hyperlink w:anchor="_Toc129940297" w:history="1">
            <w:r w:rsidR="00A73D41" w:rsidRPr="009827C2">
              <w:rPr>
                <w:rStyle w:val="Hyperlink"/>
                <w:rFonts w:ascii="Arial" w:hAnsi="Arial" w:cs="Arial"/>
                <w:noProof/>
                <w:sz w:val="24"/>
                <w:szCs w:val="24"/>
              </w:rPr>
              <w:t>Committee meetings</w:t>
            </w:r>
            <w:r w:rsidR="00A73D41" w:rsidRPr="009827C2">
              <w:rPr>
                <w:rFonts w:ascii="Arial" w:hAnsi="Arial" w:cs="Arial"/>
                <w:noProof/>
                <w:webHidden/>
                <w:sz w:val="24"/>
                <w:szCs w:val="24"/>
              </w:rPr>
              <w:tab/>
            </w:r>
            <w:r w:rsidR="00A73D41" w:rsidRPr="009827C2">
              <w:rPr>
                <w:rFonts w:ascii="Arial" w:hAnsi="Arial" w:cs="Arial"/>
                <w:noProof/>
                <w:webHidden/>
                <w:sz w:val="24"/>
                <w:szCs w:val="24"/>
              </w:rPr>
              <w:fldChar w:fldCharType="begin"/>
            </w:r>
            <w:r w:rsidR="00A73D41" w:rsidRPr="009827C2">
              <w:rPr>
                <w:rFonts w:ascii="Arial" w:hAnsi="Arial" w:cs="Arial"/>
                <w:noProof/>
                <w:webHidden/>
                <w:sz w:val="24"/>
                <w:szCs w:val="24"/>
              </w:rPr>
              <w:instrText xml:space="preserve"> PAGEREF _Toc129940297 \h </w:instrText>
            </w:r>
            <w:r w:rsidR="00A73D41" w:rsidRPr="009827C2">
              <w:rPr>
                <w:rFonts w:ascii="Arial" w:hAnsi="Arial" w:cs="Arial"/>
                <w:noProof/>
                <w:webHidden/>
                <w:sz w:val="24"/>
                <w:szCs w:val="24"/>
              </w:rPr>
            </w:r>
            <w:r w:rsidR="00A73D41" w:rsidRPr="009827C2">
              <w:rPr>
                <w:rFonts w:ascii="Arial" w:hAnsi="Arial" w:cs="Arial"/>
                <w:noProof/>
                <w:webHidden/>
                <w:sz w:val="24"/>
                <w:szCs w:val="24"/>
              </w:rPr>
              <w:fldChar w:fldCharType="separate"/>
            </w:r>
            <w:r w:rsidR="00EC1E79">
              <w:rPr>
                <w:rFonts w:ascii="Arial" w:hAnsi="Arial" w:cs="Arial"/>
                <w:noProof/>
                <w:webHidden/>
                <w:sz w:val="24"/>
                <w:szCs w:val="24"/>
              </w:rPr>
              <w:t>6</w:t>
            </w:r>
            <w:r w:rsidR="00A73D41" w:rsidRPr="009827C2">
              <w:rPr>
                <w:rFonts w:ascii="Arial" w:hAnsi="Arial" w:cs="Arial"/>
                <w:noProof/>
                <w:webHidden/>
                <w:sz w:val="24"/>
                <w:szCs w:val="24"/>
              </w:rPr>
              <w:fldChar w:fldCharType="end"/>
            </w:r>
          </w:hyperlink>
        </w:p>
        <w:p w14:paraId="4797601B" w14:textId="570B11BD" w:rsidR="00A73D41" w:rsidRPr="009827C2" w:rsidRDefault="00E15E3C">
          <w:pPr>
            <w:pStyle w:val="TOC2"/>
            <w:tabs>
              <w:tab w:val="right" w:leader="dot" w:pos="9016"/>
            </w:tabs>
            <w:rPr>
              <w:rFonts w:ascii="Arial" w:eastAsiaTheme="minorEastAsia" w:hAnsi="Arial" w:cs="Arial"/>
              <w:i w:val="0"/>
              <w:iCs w:val="0"/>
              <w:noProof/>
              <w:sz w:val="24"/>
              <w:szCs w:val="24"/>
              <w:lang w:eastAsia="en-GB"/>
            </w:rPr>
          </w:pPr>
          <w:hyperlink w:anchor="_Toc129940298" w:history="1">
            <w:r w:rsidR="00A73D41" w:rsidRPr="009827C2">
              <w:rPr>
                <w:rStyle w:val="Hyperlink"/>
                <w:rFonts w:ascii="Arial" w:hAnsi="Arial" w:cs="Arial"/>
                <w:i w:val="0"/>
                <w:iCs w:val="0"/>
                <w:noProof/>
                <w:sz w:val="24"/>
                <w:szCs w:val="24"/>
              </w:rPr>
              <w:t>Composition and quoracy</w:t>
            </w:r>
            <w:r w:rsidR="00A73D41" w:rsidRPr="009827C2">
              <w:rPr>
                <w:rFonts w:ascii="Arial" w:hAnsi="Arial" w:cs="Arial"/>
                <w:i w:val="0"/>
                <w:iCs w:val="0"/>
                <w:noProof/>
                <w:webHidden/>
                <w:sz w:val="24"/>
                <w:szCs w:val="24"/>
              </w:rPr>
              <w:tab/>
            </w:r>
            <w:r w:rsidR="00A73D41" w:rsidRPr="009827C2">
              <w:rPr>
                <w:rFonts w:ascii="Arial" w:hAnsi="Arial" w:cs="Arial"/>
                <w:i w:val="0"/>
                <w:iCs w:val="0"/>
                <w:noProof/>
                <w:webHidden/>
                <w:sz w:val="24"/>
                <w:szCs w:val="24"/>
              </w:rPr>
              <w:fldChar w:fldCharType="begin"/>
            </w:r>
            <w:r w:rsidR="00A73D41" w:rsidRPr="009827C2">
              <w:rPr>
                <w:rFonts w:ascii="Arial" w:hAnsi="Arial" w:cs="Arial"/>
                <w:i w:val="0"/>
                <w:iCs w:val="0"/>
                <w:noProof/>
                <w:webHidden/>
                <w:sz w:val="24"/>
                <w:szCs w:val="24"/>
              </w:rPr>
              <w:instrText xml:space="preserve"> PAGEREF _Toc129940298 \h </w:instrText>
            </w:r>
            <w:r w:rsidR="00A73D41" w:rsidRPr="009827C2">
              <w:rPr>
                <w:rFonts w:ascii="Arial" w:hAnsi="Arial" w:cs="Arial"/>
                <w:i w:val="0"/>
                <w:iCs w:val="0"/>
                <w:noProof/>
                <w:webHidden/>
                <w:sz w:val="24"/>
                <w:szCs w:val="24"/>
              </w:rPr>
            </w:r>
            <w:r w:rsidR="00A73D41" w:rsidRPr="009827C2">
              <w:rPr>
                <w:rFonts w:ascii="Arial" w:hAnsi="Arial" w:cs="Arial"/>
                <w:i w:val="0"/>
                <w:iCs w:val="0"/>
                <w:noProof/>
                <w:webHidden/>
                <w:sz w:val="24"/>
                <w:szCs w:val="24"/>
              </w:rPr>
              <w:fldChar w:fldCharType="separate"/>
            </w:r>
            <w:r w:rsidR="00EC1E79">
              <w:rPr>
                <w:rFonts w:ascii="Arial" w:hAnsi="Arial" w:cs="Arial"/>
                <w:i w:val="0"/>
                <w:iCs w:val="0"/>
                <w:noProof/>
                <w:webHidden/>
                <w:sz w:val="24"/>
                <w:szCs w:val="24"/>
              </w:rPr>
              <w:t>6</w:t>
            </w:r>
            <w:r w:rsidR="00A73D41" w:rsidRPr="009827C2">
              <w:rPr>
                <w:rFonts w:ascii="Arial" w:hAnsi="Arial" w:cs="Arial"/>
                <w:i w:val="0"/>
                <w:iCs w:val="0"/>
                <w:noProof/>
                <w:webHidden/>
                <w:sz w:val="24"/>
                <w:szCs w:val="24"/>
              </w:rPr>
              <w:fldChar w:fldCharType="end"/>
            </w:r>
          </w:hyperlink>
        </w:p>
        <w:p w14:paraId="154EBD7C" w14:textId="4772D9D4" w:rsidR="00A73D41" w:rsidRPr="009827C2" w:rsidRDefault="00E15E3C">
          <w:pPr>
            <w:pStyle w:val="TOC2"/>
            <w:tabs>
              <w:tab w:val="right" w:leader="dot" w:pos="9016"/>
            </w:tabs>
            <w:rPr>
              <w:rFonts w:ascii="Arial" w:eastAsiaTheme="minorEastAsia" w:hAnsi="Arial" w:cs="Arial"/>
              <w:i w:val="0"/>
              <w:iCs w:val="0"/>
              <w:noProof/>
              <w:sz w:val="24"/>
              <w:szCs w:val="24"/>
              <w:lang w:eastAsia="en-GB"/>
            </w:rPr>
          </w:pPr>
          <w:hyperlink w:anchor="_Toc129940299" w:history="1">
            <w:r w:rsidR="00A73D41" w:rsidRPr="009827C2">
              <w:rPr>
                <w:rStyle w:val="Hyperlink"/>
                <w:rFonts w:ascii="Arial" w:hAnsi="Arial" w:cs="Arial"/>
                <w:i w:val="0"/>
                <w:iCs w:val="0"/>
                <w:noProof/>
                <w:sz w:val="24"/>
                <w:szCs w:val="24"/>
              </w:rPr>
              <w:t>Frequency and formats</w:t>
            </w:r>
            <w:r w:rsidR="00A73D41" w:rsidRPr="009827C2">
              <w:rPr>
                <w:rFonts w:ascii="Arial" w:hAnsi="Arial" w:cs="Arial"/>
                <w:i w:val="0"/>
                <w:iCs w:val="0"/>
                <w:noProof/>
                <w:webHidden/>
                <w:sz w:val="24"/>
                <w:szCs w:val="24"/>
              </w:rPr>
              <w:tab/>
            </w:r>
            <w:r w:rsidR="00A73D41" w:rsidRPr="009827C2">
              <w:rPr>
                <w:rFonts w:ascii="Arial" w:hAnsi="Arial" w:cs="Arial"/>
                <w:i w:val="0"/>
                <w:iCs w:val="0"/>
                <w:noProof/>
                <w:webHidden/>
                <w:sz w:val="24"/>
                <w:szCs w:val="24"/>
              </w:rPr>
              <w:fldChar w:fldCharType="begin"/>
            </w:r>
            <w:r w:rsidR="00A73D41" w:rsidRPr="009827C2">
              <w:rPr>
                <w:rFonts w:ascii="Arial" w:hAnsi="Arial" w:cs="Arial"/>
                <w:i w:val="0"/>
                <w:iCs w:val="0"/>
                <w:noProof/>
                <w:webHidden/>
                <w:sz w:val="24"/>
                <w:szCs w:val="24"/>
              </w:rPr>
              <w:instrText xml:space="preserve"> PAGEREF _Toc129940299 \h </w:instrText>
            </w:r>
            <w:r w:rsidR="00A73D41" w:rsidRPr="009827C2">
              <w:rPr>
                <w:rFonts w:ascii="Arial" w:hAnsi="Arial" w:cs="Arial"/>
                <w:i w:val="0"/>
                <w:iCs w:val="0"/>
                <w:noProof/>
                <w:webHidden/>
                <w:sz w:val="24"/>
                <w:szCs w:val="24"/>
              </w:rPr>
            </w:r>
            <w:r w:rsidR="00A73D41" w:rsidRPr="009827C2">
              <w:rPr>
                <w:rFonts w:ascii="Arial" w:hAnsi="Arial" w:cs="Arial"/>
                <w:i w:val="0"/>
                <w:iCs w:val="0"/>
                <w:noProof/>
                <w:webHidden/>
                <w:sz w:val="24"/>
                <w:szCs w:val="24"/>
              </w:rPr>
              <w:fldChar w:fldCharType="separate"/>
            </w:r>
            <w:r w:rsidR="00EC1E79">
              <w:rPr>
                <w:rFonts w:ascii="Arial" w:hAnsi="Arial" w:cs="Arial"/>
                <w:i w:val="0"/>
                <w:iCs w:val="0"/>
                <w:noProof/>
                <w:webHidden/>
                <w:sz w:val="24"/>
                <w:szCs w:val="24"/>
              </w:rPr>
              <w:t>9</w:t>
            </w:r>
            <w:r w:rsidR="00A73D41" w:rsidRPr="009827C2">
              <w:rPr>
                <w:rFonts w:ascii="Arial" w:hAnsi="Arial" w:cs="Arial"/>
                <w:i w:val="0"/>
                <w:iCs w:val="0"/>
                <w:noProof/>
                <w:webHidden/>
                <w:sz w:val="24"/>
                <w:szCs w:val="24"/>
              </w:rPr>
              <w:fldChar w:fldCharType="end"/>
            </w:r>
          </w:hyperlink>
        </w:p>
        <w:p w14:paraId="08C7F114" w14:textId="6363B3CC" w:rsidR="00A73D41" w:rsidRPr="009827C2" w:rsidRDefault="00E15E3C">
          <w:pPr>
            <w:pStyle w:val="TOC2"/>
            <w:tabs>
              <w:tab w:val="right" w:leader="dot" w:pos="9016"/>
            </w:tabs>
            <w:rPr>
              <w:rFonts w:ascii="Arial" w:eastAsiaTheme="minorEastAsia" w:hAnsi="Arial" w:cs="Arial"/>
              <w:i w:val="0"/>
              <w:iCs w:val="0"/>
              <w:noProof/>
              <w:sz w:val="24"/>
              <w:szCs w:val="24"/>
              <w:lang w:eastAsia="en-GB"/>
            </w:rPr>
          </w:pPr>
          <w:hyperlink w:anchor="_Toc129940300" w:history="1">
            <w:r w:rsidR="00A73D41" w:rsidRPr="009827C2">
              <w:rPr>
                <w:rStyle w:val="Hyperlink"/>
                <w:rFonts w:ascii="Arial" w:hAnsi="Arial" w:cs="Arial"/>
                <w:i w:val="0"/>
                <w:iCs w:val="0"/>
                <w:noProof/>
                <w:sz w:val="24"/>
                <w:szCs w:val="24"/>
              </w:rPr>
              <w:t>Procedures</w:t>
            </w:r>
            <w:r w:rsidR="00A73D41" w:rsidRPr="009827C2">
              <w:rPr>
                <w:rFonts w:ascii="Arial" w:hAnsi="Arial" w:cs="Arial"/>
                <w:i w:val="0"/>
                <w:iCs w:val="0"/>
                <w:noProof/>
                <w:webHidden/>
                <w:sz w:val="24"/>
                <w:szCs w:val="24"/>
              </w:rPr>
              <w:tab/>
            </w:r>
            <w:r w:rsidR="00A73D41" w:rsidRPr="009827C2">
              <w:rPr>
                <w:rFonts w:ascii="Arial" w:hAnsi="Arial" w:cs="Arial"/>
                <w:i w:val="0"/>
                <w:iCs w:val="0"/>
                <w:noProof/>
                <w:webHidden/>
                <w:sz w:val="24"/>
                <w:szCs w:val="24"/>
              </w:rPr>
              <w:fldChar w:fldCharType="begin"/>
            </w:r>
            <w:r w:rsidR="00A73D41" w:rsidRPr="009827C2">
              <w:rPr>
                <w:rFonts w:ascii="Arial" w:hAnsi="Arial" w:cs="Arial"/>
                <w:i w:val="0"/>
                <w:iCs w:val="0"/>
                <w:noProof/>
                <w:webHidden/>
                <w:sz w:val="24"/>
                <w:szCs w:val="24"/>
              </w:rPr>
              <w:instrText xml:space="preserve"> PAGEREF _Toc129940300 \h </w:instrText>
            </w:r>
            <w:r w:rsidR="00A73D41" w:rsidRPr="009827C2">
              <w:rPr>
                <w:rFonts w:ascii="Arial" w:hAnsi="Arial" w:cs="Arial"/>
                <w:i w:val="0"/>
                <w:iCs w:val="0"/>
                <w:noProof/>
                <w:webHidden/>
                <w:sz w:val="24"/>
                <w:szCs w:val="24"/>
              </w:rPr>
            </w:r>
            <w:r w:rsidR="00A73D41" w:rsidRPr="009827C2">
              <w:rPr>
                <w:rFonts w:ascii="Arial" w:hAnsi="Arial" w:cs="Arial"/>
                <w:i w:val="0"/>
                <w:iCs w:val="0"/>
                <w:noProof/>
                <w:webHidden/>
                <w:sz w:val="24"/>
                <w:szCs w:val="24"/>
              </w:rPr>
              <w:fldChar w:fldCharType="separate"/>
            </w:r>
            <w:r w:rsidR="00EC1E79">
              <w:rPr>
                <w:rFonts w:ascii="Arial" w:hAnsi="Arial" w:cs="Arial"/>
                <w:i w:val="0"/>
                <w:iCs w:val="0"/>
                <w:noProof/>
                <w:webHidden/>
                <w:sz w:val="24"/>
                <w:szCs w:val="24"/>
              </w:rPr>
              <w:t>9</w:t>
            </w:r>
            <w:r w:rsidR="00A73D41" w:rsidRPr="009827C2">
              <w:rPr>
                <w:rFonts w:ascii="Arial" w:hAnsi="Arial" w:cs="Arial"/>
                <w:i w:val="0"/>
                <w:iCs w:val="0"/>
                <w:noProof/>
                <w:webHidden/>
                <w:sz w:val="24"/>
                <w:szCs w:val="24"/>
              </w:rPr>
              <w:fldChar w:fldCharType="end"/>
            </w:r>
          </w:hyperlink>
        </w:p>
        <w:p w14:paraId="79783420" w14:textId="22AB67E0" w:rsidR="00A73D41" w:rsidRPr="009827C2" w:rsidRDefault="00E15E3C">
          <w:pPr>
            <w:pStyle w:val="TOC1"/>
            <w:tabs>
              <w:tab w:val="right" w:leader="dot" w:pos="9016"/>
            </w:tabs>
            <w:rPr>
              <w:rFonts w:ascii="Arial" w:eastAsiaTheme="minorEastAsia" w:hAnsi="Arial" w:cs="Arial"/>
              <w:b w:val="0"/>
              <w:bCs w:val="0"/>
              <w:noProof/>
              <w:sz w:val="24"/>
              <w:szCs w:val="24"/>
              <w:lang w:eastAsia="en-GB"/>
            </w:rPr>
          </w:pPr>
          <w:hyperlink w:anchor="_Toc129940301" w:history="1">
            <w:r w:rsidR="00A73D41" w:rsidRPr="009827C2">
              <w:rPr>
                <w:rStyle w:val="Hyperlink"/>
                <w:rFonts w:ascii="Arial" w:hAnsi="Arial" w:cs="Arial"/>
                <w:noProof/>
                <w:sz w:val="24"/>
                <w:szCs w:val="24"/>
              </w:rPr>
              <w:t>Secretariat and administration</w:t>
            </w:r>
            <w:r w:rsidR="00A73D41" w:rsidRPr="009827C2">
              <w:rPr>
                <w:rFonts w:ascii="Arial" w:hAnsi="Arial" w:cs="Arial"/>
                <w:noProof/>
                <w:webHidden/>
                <w:sz w:val="24"/>
                <w:szCs w:val="24"/>
              </w:rPr>
              <w:tab/>
            </w:r>
            <w:r w:rsidR="00A73D41" w:rsidRPr="009827C2">
              <w:rPr>
                <w:rFonts w:ascii="Arial" w:hAnsi="Arial" w:cs="Arial"/>
                <w:noProof/>
                <w:webHidden/>
                <w:sz w:val="24"/>
                <w:szCs w:val="24"/>
              </w:rPr>
              <w:fldChar w:fldCharType="begin"/>
            </w:r>
            <w:r w:rsidR="00A73D41" w:rsidRPr="009827C2">
              <w:rPr>
                <w:rFonts w:ascii="Arial" w:hAnsi="Arial" w:cs="Arial"/>
                <w:noProof/>
                <w:webHidden/>
                <w:sz w:val="24"/>
                <w:szCs w:val="24"/>
              </w:rPr>
              <w:instrText xml:space="preserve"> PAGEREF _Toc129940301 \h </w:instrText>
            </w:r>
            <w:r w:rsidR="00A73D41" w:rsidRPr="009827C2">
              <w:rPr>
                <w:rFonts w:ascii="Arial" w:hAnsi="Arial" w:cs="Arial"/>
                <w:noProof/>
                <w:webHidden/>
                <w:sz w:val="24"/>
                <w:szCs w:val="24"/>
              </w:rPr>
            </w:r>
            <w:r w:rsidR="00A73D41" w:rsidRPr="009827C2">
              <w:rPr>
                <w:rFonts w:ascii="Arial" w:hAnsi="Arial" w:cs="Arial"/>
                <w:noProof/>
                <w:webHidden/>
                <w:sz w:val="24"/>
                <w:szCs w:val="24"/>
              </w:rPr>
              <w:fldChar w:fldCharType="separate"/>
            </w:r>
            <w:r w:rsidR="00EC1E79">
              <w:rPr>
                <w:rFonts w:ascii="Arial" w:hAnsi="Arial" w:cs="Arial"/>
                <w:noProof/>
                <w:webHidden/>
                <w:sz w:val="24"/>
                <w:szCs w:val="24"/>
              </w:rPr>
              <w:t>11</w:t>
            </w:r>
            <w:r w:rsidR="00A73D41" w:rsidRPr="009827C2">
              <w:rPr>
                <w:rFonts w:ascii="Arial" w:hAnsi="Arial" w:cs="Arial"/>
                <w:noProof/>
                <w:webHidden/>
                <w:sz w:val="24"/>
                <w:szCs w:val="24"/>
              </w:rPr>
              <w:fldChar w:fldCharType="end"/>
            </w:r>
          </w:hyperlink>
        </w:p>
        <w:p w14:paraId="1374A1BE" w14:textId="7825CAAD" w:rsidR="00A73D41" w:rsidRPr="009827C2" w:rsidRDefault="00E15E3C">
          <w:pPr>
            <w:pStyle w:val="TOC1"/>
            <w:tabs>
              <w:tab w:val="right" w:leader="dot" w:pos="9016"/>
            </w:tabs>
            <w:rPr>
              <w:rFonts w:ascii="Arial" w:eastAsiaTheme="minorEastAsia" w:hAnsi="Arial" w:cs="Arial"/>
              <w:b w:val="0"/>
              <w:bCs w:val="0"/>
              <w:noProof/>
              <w:sz w:val="24"/>
              <w:szCs w:val="24"/>
              <w:lang w:eastAsia="en-GB"/>
            </w:rPr>
          </w:pPr>
          <w:hyperlink w:anchor="_Toc129940302" w:history="1">
            <w:r w:rsidR="00A73D41" w:rsidRPr="009827C2">
              <w:rPr>
                <w:rStyle w:val="Hyperlink"/>
                <w:rFonts w:ascii="Arial" w:hAnsi="Arial" w:cs="Arial"/>
                <w:noProof/>
                <w:sz w:val="24"/>
                <w:szCs w:val="24"/>
              </w:rPr>
              <w:t>Appendix 1: Approval History</w:t>
            </w:r>
            <w:r w:rsidR="00A73D41" w:rsidRPr="009827C2">
              <w:rPr>
                <w:rFonts w:ascii="Arial" w:hAnsi="Arial" w:cs="Arial"/>
                <w:noProof/>
                <w:webHidden/>
                <w:sz w:val="24"/>
                <w:szCs w:val="24"/>
              </w:rPr>
              <w:tab/>
            </w:r>
            <w:r w:rsidR="00A73D41" w:rsidRPr="009827C2">
              <w:rPr>
                <w:rFonts w:ascii="Arial" w:hAnsi="Arial" w:cs="Arial"/>
                <w:noProof/>
                <w:webHidden/>
                <w:sz w:val="24"/>
                <w:szCs w:val="24"/>
              </w:rPr>
              <w:fldChar w:fldCharType="begin"/>
            </w:r>
            <w:r w:rsidR="00A73D41" w:rsidRPr="009827C2">
              <w:rPr>
                <w:rFonts w:ascii="Arial" w:hAnsi="Arial" w:cs="Arial"/>
                <w:noProof/>
                <w:webHidden/>
                <w:sz w:val="24"/>
                <w:szCs w:val="24"/>
              </w:rPr>
              <w:instrText xml:space="preserve"> PAGEREF _Toc129940302 \h </w:instrText>
            </w:r>
            <w:r w:rsidR="00A73D41" w:rsidRPr="009827C2">
              <w:rPr>
                <w:rFonts w:ascii="Arial" w:hAnsi="Arial" w:cs="Arial"/>
                <w:noProof/>
                <w:webHidden/>
                <w:sz w:val="24"/>
                <w:szCs w:val="24"/>
              </w:rPr>
            </w:r>
            <w:r w:rsidR="00A73D41" w:rsidRPr="009827C2">
              <w:rPr>
                <w:rFonts w:ascii="Arial" w:hAnsi="Arial" w:cs="Arial"/>
                <w:noProof/>
                <w:webHidden/>
                <w:sz w:val="24"/>
                <w:szCs w:val="24"/>
              </w:rPr>
              <w:fldChar w:fldCharType="separate"/>
            </w:r>
            <w:r w:rsidR="00EC1E79">
              <w:rPr>
                <w:rFonts w:ascii="Arial" w:hAnsi="Arial" w:cs="Arial"/>
                <w:noProof/>
                <w:webHidden/>
                <w:sz w:val="24"/>
                <w:szCs w:val="24"/>
              </w:rPr>
              <w:t>11</w:t>
            </w:r>
            <w:r w:rsidR="00A73D41" w:rsidRPr="009827C2">
              <w:rPr>
                <w:rFonts w:ascii="Arial" w:hAnsi="Arial" w:cs="Arial"/>
                <w:noProof/>
                <w:webHidden/>
                <w:sz w:val="24"/>
                <w:szCs w:val="24"/>
              </w:rPr>
              <w:fldChar w:fldCharType="end"/>
            </w:r>
          </w:hyperlink>
        </w:p>
        <w:p w14:paraId="7C6DC213" w14:textId="2D5A43A5" w:rsidR="00A73D41" w:rsidRPr="009827C2" w:rsidRDefault="00E15E3C">
          <w:pPr>
            <w:pStyle w:val="TOC1"/>
            <w:tabs>
              <w:tab w:val="right" w:leader="dot" w:pos="9016"/>
            </w:tabs>
            <w:rPr>
              <w:rFonts w:ascii="Arial" w:eastAsiaTheme="minorEastAsia" w:hAnsi="Arial" w:cs="Arial"/>
              <w:b w:val="0"/>
              <w:bCs w:val="0"/>
              <w:noProof/>
              <w:sz w:val="24"/>
              <w:szCs w:val="24"/>
              <w:lang w:eastAsia="en-GB"/>
            </w:rPr>
          </w:pPr>
          <w:hyperlink w:anchor="_Toc129940303" w:history="1">
            <w:r w:rsidR="00A73D41" w:rsidRPr="009827C2">
              <w:rPr>
                <w:rStyle w:val="Hyperlink"/>
                <w:rFonts w:ascii="Arial" w:hAnsi="Arial" w:cs="Arial"/>
                <w:noProof/>
                <w:sz w:val="24"/>
                <w:szCs w:val="24"/>
              </w:rPr>
              <w:t>Appendix 2: Review History</w:t>
            </w:r>
            <w:r w:rsidR="00A73D41" w:rsidRPr="009827C2">
              <w:rPr>
                <w:rFonts w:ascii="Arial" w:hAnsi="Arial" w:cs="Arial"/>
                <w:noProof/>
                <w:webHidden/>
                <w:sz w:val="24"/>
                <w:szCs w:val="24"/>
              </w:rPr>
              <w:tab/>
            </w:r>
            <w:r w:rsidR="00A73D41" w:rsidRPr="009827C2">
              <w:rPr>
                <w:rFonts w:ascii="Arial" w:hAnsi="Arial" w:cs="Arial"/>
                <w:noProof/>
                <w:webHidden/>
                <w:sz w:val="24"/>
                <w:szCs w:val="24"/>
              </w:rPr>
              <w:fldChar w:fldCharType="begin"/>
            </w:r>
            <w:r w:rsidR="00A73D41" w:rsidRPr="009827C2">
              <w:rPr>
                <w:rFonts w:ascii="Arial" w:hAnsi="Arial" w:cs="Arial"/>
                <w:noProof/>
                <w:webHidden/>
                <w:sz w:val="24"/>
                <w:szCs w:val="24"/>
              </w:rPr>
              <w:instrText xml:space="preserve"> PAGEREF _Toc129940303 \h </w:instrText>
            </w:r>
            <w:r w:rsidR="00A73D41" w:rsidRPr="009827C2">
              <w:rPr>
                <w:rFonts w:ascii="Arial" w:hAnsi="Arial" w:cs="Arial"/>
                <w:noProof/>
                <w:webHidden/>
                <w:sz w:val="24"/>
                <w:szCs w:val="24"/>
              </w:rPr>
            </w:r>
            <w:r w:rsidR="00A73D41" w:rsidRPr="009827C2">
              <w:rPr>
                <w:rFonts w:ascii="Arial" w:hAnsi="Arial" w:cs="Arial"/>
                <w:noProof/>
                <w:webHidden/>
                <w:sz w:val="24"/>
                <w:szCs w:val="24"/>
              </w:rPr>
              <w:fldChar w:fldCharType="separate"/>
            </w:r>
            <w:r w:rsidR="00EC1E79">
              <w:rPr>
                <w:rFonts w:ascii="Arial" w:hAnsi="Arial" w:cs="Arial"/>
                <w:noProof/>
                <w:webHidden/>
                <w:sz w:val="24"/>
                <w:szCs w:val="24"/>
              </w:rPr>
              <w:t>12</w:t>
            </w:r>
            <w:r w:rsidR="00A73D41" w:rsidRPr="009827C2">
              <w:rPr>
                <w:rFonts w:ascii="Arial" w:hAnsi="Arial" w:cs="Arial"/>
                <w:noProof/>
                <w:webHidden/>
                <w:sz w:val="24"/>
                <w:szCs w:val="24"/>
              </w:rPr>
              <w:fldChar w:fldCharType="end"/>
            </w:r>
          </w:hyperlink>
        </w:p>
        <w:p w14:paraId="4169C943" w14:textId="19BB3AC1" w:rsidR="00E06F93" w:rsidRPr="009827C2" w:rsidRDefault="00A73D41" w:rsidP="00E06F93">
          <w:r w:rsidRPr="009827C2">
            <w:rPr>
              <w:caps/>
            </w:rPr>
            <w:fldChar w:fldCharType="end"/>
          </w:r>
        </w:p>
      </w:sdtContent>
    </w:sdt>
    <w:p w14:paraId="125AE6A2" w14:textId="77777777" w:rsidR="00E06F93" w:rsidRPr="009827C2" w:rsidRDefault="00E06F93" w:rsidP="00E06F93"/>
    <w:p w14:paraId="20E7129B" w14:textId="3726FD23" w:rsidR="00E06F93" w:rsidRPr="009827C2" w:rsidRDefault="00E06F93" w:rsidP="00E06F93">
      <w:pPr>
        <w:rPr>
          <w:b/>
          <w:bCs/>
        </w:rPr>
      </w:pPr>
      <w:r w:rsidRPr="009827C2">
        <w:rPr>
          <w:b/>
          <w:bCs/>
        </w:rPr>
        <w:br w:type="page"/>
      </w:r>
    </w:p>
    <w:p w14:paraId="5BC194B5" w14:textId="77777777" w:rsidR="00E06F93" w:rsidRPr="009827C2" w:rsidRDefault="00E06F93" w:rsidP="00E06F93">
      <w:pPr>
        <w:pStyle w:val="Heading1"/>
        <w:keepNext w:val="0"/>
        <w:keepLines w:val="0"/>
        <w:widowControl w:val="0"/>
        <w:spacing w:before="0" w:after="120"/>
        <w:ind w:left="567" w:hanging="567"/>
        <w:rPr>
          <w:rFonts w:cs="Arial"/>
          <w:sz w:val="24"/>
          <w:szCs w:val="24"/>
        </w:rPr>
      </w:pPr>
      <w:bookmarkStart w:id="0" w:name="_Toc120720199"/>
      <w:bookmarkStart w:id="1" w:name="_Toc123192556"/>
      <w:bookmarkStart w:id="2" w:name="_Toc129940289"/>
      <w:r w:rsidRPr="009827C2">
        <w:rPr>
          <w:rFonts w:cs="Arial"/>
          <w:sz w:val="24"/>
          <w:szCs w:val="24"/>
        </w:rPr>
        <w:lastRenderedPageBreak/>
        <w:t>Establishment</w:t>
      </w:r>
      <w:bookmarkEnd w:id="0"/>
      <w:bookmarkEnd w:id="1"/>
      <w:bookmarkEnd w:id="2"/>
    </w:p>
    <w:p w14:paraId="2C72B9C6" w14:textId="02E23512" w:rsidR="00E06F93" w:rsidRPr="009827C2" w:rsidRDefault="00E06F93" w:rsidP="00E06F93">
      <w:pPr>
        <w:pStyle w:val="Indentedparagraph"/>
        <w:rPr>
          <w:rFonts w:cs="Arial"/>
          <w:sz w:val="24"/>
          <w:szCs w:val="24"/>
        </w:rPr>
      </w:pPr>
      <w:r w:rsidRPr="009827C2">
        <w:rPr>
          <w:rFonts w:cs="Arial"/>
          <w:sz w:val="24"/>
          <w:szCs w:val="24"/>
        </w:rPr>
        <w:t xml:space="preserve">The </w:t>
      </w:r>
      <w:r w:rsidR="00733E15" w:rsidRPr="009827C2">
        <w:rPr>
          <w:rFonts w:cs="Arial"/>
          <w:sz w:val="24"/>
          <w:szCs w:val="24"/>
        </w:rPr>
        <w:t>Pharmaceutical Services Regulations</w:t>
      </w:r>
      <w:r w:rsidRPr="009827C2">
        <w:rPr>
          <w:rFonts w:cs="Arial"/>
          <w:sz w:val="24"/>
          <w:szCs w:val="24"/>
        </w:rPr>
        <w:t xml:space="preserve"> </w:t>
      </w:r>
      <w:r w:rsidR="00A836C1">
        <w:rPr>
          <w:rFonts w:cs="Arial"/>
          <w:sz w:val="24"/>
          <w:szCs w:val="24"/>
        </w:rPr>
        <w:t>Subcommittee</w:t>
      </w:r>
      <w:r w:rsidR="00C43E88">
        <w:rPr>
          <w:rFonts w:cs="Arial"/>
          <w:sz w:val="24"/>
          <w:szCs w:val="24"/>
        </w:rPr>
        <w:t xml:space="preserve"> (PSRC)</w:t>
      </w:r>
      <w:r w:rsidRPr="009827C2">
        <w:rPr>
          <w:rFonts w:cs="Arial"/>
          <w:sz w:val="24"/>
          <w:szCs w:val="24"/>
        </w:rPr>
        <w:t xml:space="preserve"> is a </w:t>
      </w:r>
      <w:r w:rsidR="00A836C1">
        <w:rPr>
          <w:rFonts w:cs="Arial"/>
          <w:sz w:val="24"/>
          <w:szCs w:val="24"/>
        </w:rPr>
        <w:t>Subcommittee</w:t>
      </w:r>
      <w:r w:rsidRPr="009827C2">
        <w:rPr>
          <w:rFonts w:cs="Arial"/>
          <w:sz w:val="24"/>
          <w:szCs w:val="24"/>
        </w:rPr>
        <w:t xml:space="preserve"> established by the </w:t>
      </w:r>
      <w:r w:rsidR="00733E15" w:rsidRPr="009827C2">
        <w:rPr>
          <w:rFonts w:cs="Arial"/>
          <w:sz w:val="24"/>
          <w:szCs w:val="24"/>
        </w:rPr>
        <w:t>Executive</w:t>
      </w:r>
      <w:r w:rsidRPr="009827C2">
        <w:rPr>
          <w:rFonts w:cs="Arial"/>
          <w:sz w:val="24"/>
          <w:szCs w:val="24"/>
        </w:rPr>
        <w:t xml:space="preserve"> committee, in accordance with the NHS </w:t>
      </w:r>
      <w:proofErr w:type="gramStart"/>
      <w:r w:rsidRPr="009827C2">
        <w:rPr>
          <w:rFonts w:cs="Arial"/>
          <w:sz w:val="24"/>
          <w:szCs w:val="24"/>
        </w:rPr>
        <w:t>North East</w:t>
      </w:r>
      <w:proofErr w:type="gramEnd"/>
      <w:r w:rsidRPr="009827C2">
        <w:rPr>
          <w:rFonts w:cs="Arial"/>
          <w:sz w:val="24"/>
          <w:szCs w:val="24"/>
        </w:rPr>
        <w:t xml:space="preserve"> and North Cumbria's (hereafter referred to as the ICB) Scheme of Reservation and Delegation (</w:t>
      </w:r>
      <w:proofErr w:type="spellStart"/>
      <w:r w:rsidRPr="009827C2">
        <w:rPr>
          <w:rFonts w:cs="Arial"/>
          <w:sz w:val="24"/>
          <w:szCs w:val="24"/>
        </w:rPr>
        <w:t>SoRD</w:t>
      </w:r>
      <w:proofErr w:type="spellEnd"/>
      <w:r w:rsidRPr="009827C2">
        <w:rPr>
          <w:rFonts w:cs="Arial"/>
          <w:sz w:val="24"/>
          <w:szCs w:val="24"/>
        </w:rPr>
        <w:t>) and Constitution.</w:t>
      </w:r>
    </w:p>
    <w:p w14:paraId="3E9DD128" w14:textId="77777777" w:rsidR="00733E15" w:rsidRPr="009827C2" w:rsidRDefault="00733E15" w:rsidP="00733E15">
      <w:pPr>
        <w:contextualSpacing/>
        <w:jc w:val="both"/>
        <w:rPr>
          <w:rFonts w:eastAsia="Calibri"/>
        </w:rPr>
      </w:pPr>
    </w:p>
    <w:p w14:paraId="476DC512" w14:textId="77777777" w:rsidR="00733E15" w:rsidRPr="009827C2" w:rsidRDefault="00733E15" w:rsidP="00733E15">
      <w:pPr>
        <w:ind w:left="567"/>
        <w:contextualSpacing/>
        <w:rPr>
          <w:rFonts w:eastAsia="Calibri"/>
        </w:rPr>
      </w:pPr>
      <w:r w:rsidRPr="009827C2">
        <w:rPr>
          <w:rFonts w:eastAsia="Calibri"/>
        </w:rPr>
        <w:t>The PSRC holds only those powers as delegated in these terms of reference (as defined by the Pharmacy Manual (Version 2, 10 February 2023) and approved by the ICB Board.</w:t>
      </w:r>
    </w:p>
    <w:p w14:paraId="592E1FB3" w14:textId="77777777" w:rsidR="00733E15" w:rsidRPr="009827C2" w:rsidRDefault="00733E15" w:rsidP="00733E15">
      <w:pPr>
        <w:contextualSpacing/>
        <w:jc w:val="both"/>
        <w:rPr>
          <w:rFonts w:eastAsia="Calibri"/>
        </w:rPr>
      </w:pPr>
    </w:p>
    <w:p w14:paraId="484DA87C" w14:textId="77777777" w:rsidR="00E06F93" w:rsidRPr="009827C2" w:rsidRDefault="00E06F93" w:rsidP="00E06F93">
      <w:pPr>
        <w:pStyle w:val="Heading2"/>
        <w:keepNext w:val="0"/>
        <w:keepLines w:val="0"/>
        <w:widowControl w:val="0"/>
        <w:numPr>
          <w:ilvl w:val="1"/>
          <w:numId w:val="0"/>
        </w:numPr>
        <w:spacing w:before="240" w:after="120"/>
        <w:ind w:left="567" w:hanging="567"/>
        <w:rPr>
          <w:rFonts w:ascii="Arial" w:hAnsi="Arial" w:cs="Arial"/>
          <w:sz w:val="24"/>
          <w:szCs w:val="24"/>
        </w:rPr>
      </w:pPr>
      <w:bookmarkStart w:id="3" w:name="_Toc120720200"/>
      <w:bookmarkStart w:id="4" w:name="_Toc123192557"/>
      <w:bookmarkStart w:id="5" w:name="_Toc129940290"/>
      <w:r w:rsidRPr="009827C2">
        <w:rPr>
          <w:rFonts w:ascii="Arial" w:hAnsi="Arial" w:cs="Arial"/>
          <w:sz w:val="24"/>
          <w:szCs w:val="24"/>
        </w:rPr>
        <w:t>Terms of reference:</w:t>
      </w:r>
      <w:bookmarkEnd w:id="3"/>
      <w:bookmarkEnd w:id="4"/>
      <w:bookmarkEnd w:id="5"/>
      <w:r w:rsidRPr="009827C2">
        <w:rPr>
          <w:rFonts w:ascii="Arial" w:hAnsi="Arial" w:cs="Arial"/>
          <w:sz w:val="24"/>
          <w:szCs w:val="24"/>
        </w:rPr>
        <w:t xml:space="preserve"> </w:t>
      </w:r>
    </w:p>
    <w:p w14:paraId="664588CB" w14:textId="77777777" w:rsidR="00E06F93" w:rsidRPr="009827C2" w:rsidRDefault="00E06F93" w:rsidP="00E06F93">
      <w:pPr>
        <w:pStyle w:val="Indentedparagraph"/>
        <w:rPr>
          <w:rFonts w:cs="Arial"/>
          <w:sz w:val="24"/>
          <w:szCs w:val="24"/>
        </w:rPr>
      </w:pPr>
      <w:r w:rsidRPr="009827C2">
        <w:rPr>
          <w:rFonts w:cs="Arial"/>
          <w:b/>
          <w:bCs/>
          <w:sz w:val="24"/>
          <w:szCs w:val="24"/>
        </w:rPr>
        <w:t>Definition of terms:</w:t>
      </w:r>
      <w:r w:rsidRPr="009827C2">
        <w:rPr>
          <w:rFonts w:cs="Arial"/>
          <w:sz w:val="24"/>
          <w:szCs w:val="24"/>
        </w:rPr>
        <w:t xml:space="preserve"> The terms of reference are defined by the ICB.</w:t>
      </w:r>
    </w:p>
    <w:p w14:paraId="149DB53B" w14:textId="0AE1BAF9" w:rsidR="00E06F93" w:rsidRPr="009827C2" w:rsidRDefault="00E06F93" w:rsidP="00E06F93">
      <w:pPr>
        <w:pStyle w:val="Indentedparagraph"/>
        <w:rPr>
          <w:rFonts w:cs="Arial"/>
          <w:sz w:val="24"/>
          <w:szCs w:val="24"/>
        </w:rPr>
      </w:pPr>
      <w:r w:rsidRPr="009827C2">
        <w:rPr>
          <w:rFonts w:cs="Arial"/>
          <w:b/>
          <w:bCs/>
          <w:sz w:val="24"/>
          <w:szCs w:val="24"/>
        </w:rPr>
        <w:t xml:space="preserve">Amendment: </w:t>
      </w:r>
      <w:r w:rsidRPr="009827C2">
        <w:rPr>
          <w:rFonts w:cs="Arial"/>
          <w:sz w:val="24"/>
          <w:szCs w:val="24"/>
        </w:rPr>
        <w:t xml:space="preserve"> The terms of reference may be amended in accordance with the provisions set out in this SOP (Establishing </w:t>
      </w:r>
      <w:r w:rsidR="00A836C1">
        <w:rPr>
          <w:rFonts w:cs="Arial"/>
          <w:sz w:val="24"/>
          <w:szCs w:val="24"/>
        </w:rPr>
        <w:t>Subcommittee</w:t>
      </w:r>
      <w:r w:rsidRPr="009827C2">
        <w:rPr>
          <w:rFonts w:cs="Arial"/>
          <w:sz w:val="24"/>
          <w:szCs w:val="24"/>
        </w:rPr>
        <w:t>s).</w:t>
      </w:r>
    </w:p>
    <w:p w14:paraId="013E57FA" w14:textId="77777777" w:rsidR="00E06F93" w:rsidRPr="009827C2" w:rsidRDefault="00E06F93" w:rsidP="00E06F93">
      <w:pPr>
        <w:pStyle w:val="Indentedparagraph"/>
        <w:rPr>
          <w:rFonts w:cs="Arial"/>
          <w:sz w:val="24"/>
          <w:szCs w:val="24"/>
        </w:rPr>
      </w:pPr>
      <w:r w:rsidRPr="009827C2">
        <w:rPr>
          <w:rFonts w:cs="Arial"/>
          <w:b/>
          <w:bCs/>
          <w:sz w:val="24"/>
          <w:szCs w:val="24"/>
        </w:rPr>
        <w:t>Publication:</w:t>
      </w:r>
      <w:r w:rsidRPr="009827C2">
        <w:rPr>
          <w:rFonts w:cs="Arial"/>
          <w:sz w:val="24"/>
          <w:szCs w:val="24"/>
        </w:rPr>
        <w:t xml:space="preserve"> The terms of reference will be published in the ICB's Governance Handbook which is accessible here: </w:t>
      </w:r>
      <w:hyperlink r:id="rId13" w:history="1">
        <w:r w:rsidRPr="009827C2">
          <w:rPr>
            <w:rStyle w:val="Hyperlink"/>
            <w:rFonts w:cs="Arial"/>
            <w:sz w:val="24"/>
            <w:szCs w:val="24"/>
          </w:rPr>
          <w:t>https://northeastnorthcumbria.nhs.uk/about-us/corporate-information/governance/</w:t>
        </w:r>
      </w:hyperlink>
    </w:p>
    <w:p w14:paraId="4FC1C67F" w14:textId="77777777" w:rsidR="00E06F93" w:rsidRPr="009827C2" w:rsidRDefault="00E06F93" w:rsidP="00E06F93">
      <w:pPr>
        <w:pStyle w:val="Heading2"/>
        <w:keepNext w:val="0"/>
        <w:keepLines w:val="0"/>
        <w:widowControl w:val="0"/>
        <w:numPr>
          <w:ilvl w:val="1"/>
          <w:numId w:val="0"/>
        </w:numPr>
        <w:spacing w:before="240" w:after="120"/>
        <w:ind w:left="567" w:hanging="567"/>
        <w:rPr>
          <w:rFonts w:ascii="Arial" w:hAnsi="Arial" w:cs="Arial"/>
          <w:sz w:val="24"/>
          <w:szCs w:val="24"/>
        </w:rPr>
      </w:pPr>
      <w:bookmarkStart w:id="6" w:name="_Toc120720201"/>
      <w:bookmarkStart w:id="7" w:name="_Toc123192558"/>
      <w:bookmarkStart w:id="8" w:name="_Toc129940291"/>
      <w:r w:rsidRPr="009827C2">
        <w:rPr>
          <w:rFonts w:ascii="Arial" w:hAnsi="Arial" w:cs="Arial"/>
          <w:sz w:val="24"/>
          <w:szCs w:val="24"/>
        </w:rPr>
        <w:t>Purpose</w:t>
      </w:r>
      <w:bookmarkEnd w:id="6"/>
      <w:bookmarkEnd w:id="7"/>
      <w:bookmarkEnd w:id="8"/>
    </w:p>
    <w:p w14:paraId="0F9E61A3" w14:textId="6085E18E" w:rsidR="00733E15" w:rsidRPr="009827C2" w:rsidRDefault="00E06F93" w:rsidP="00733E15">
      <w:pPr>
        <w:ind w:left="567"/>
        <w:contextualSpacing/>
        <w:rPr>
          <w:rFonts w:eastAsia="Calibri"/>
        </w:rPr>
      </w:pPr>
      <w:r w:rsidRPr="009827C2">
        <w:t xml:space="preserve">The purpose is of the </w:t>
      </w:r>
      <w:r w:rsidR="00A836C1">
        <w:t>Subcommittee</w:t>
      </w:r>
      <w:r w:rsidRPr="009827C2">
        <w:t xml:space="preserve"> is to support the </w:t>
      </w:r>
      <w:r w:rsidR="00733E15" w:rsidRPr="009827C2">
        <w:t>Executive</w:t>
      </w:r>
      <w:r w:rsidRPr="009827C2">
        <w:t xml:space="preserve"> </w:t>
      </w:r>
      <w:r w:rsidR="00C43E88">
        <w:t>C</w:t>
      </w:r>
      <w:r w:rsidRPr="009827C2">
        <w:t>ommittee to discharge its duties relat</w:t>
      </w:r>
      <w:r w:rsidR="00733E15" w:rsidRPr="009827C2">
        <w:t xml:space="preserve">ing </w:t>
      </w:r>
      <w:r w:rsidR="00733E15" w:rsidRPr="009827C2">
        <w:rPr>
          <w:rFonts w:eastAsia="Calibri"/>
        </w:rPr>
        <w:t>to receiving and determining, on behalf of the ICB, applications submitted under the NHS (Pharmaceutical Services</w:t>
      </w:r>
      <w:r w:rsidR="005837B3">
        <w:rPr>
          <w:rFonts w:eastAsia="Calibri"/>
        </w:rPr>
        <w:t xml:space="preserve"> and Local Pharmaceutical Services</w:t>
      </w:r>
      <w:r w:rsidR="00733E15" w:rsidRPr="009827C2">
        <w:rPr>
          <w:rFonts w:eastAsia="Calibri"/>
        </w:rPr>
        <w:t xml:space="preserve">) Regulations 2013 as amended ('the Regulations').  </w:t>
      </w:r>
    </w:p>
    <w:p w14:paraId="57E8C436" w14:textId="4A146A6E" w:rsidR="00E06F93" w:rsidRPr="009827C2" w:rsidRDefault="00E06F93" w:rsidP="00E06F93">
      <w:pPr>
        <w:pStyle w:val="NormalWeb"/>
        <w:ind w:left="567"/>
        <w:rPr>
          <w:rFonts w:ascii="Arial" w:hAnsi="Arial" w:cs="Arial"/>
        </w:rPr>
      </w:pPr>
    </w:p>
    <w:p w14:paraId="2B3A458B" w14:textId="77777777" w:rsidR="00E06F93" w:rsidRPr="009827C2" w:rsidRDefault="00E06F93" w:rsidP="00E06F93">
      <w:pPr>
        <w:pStyle w:val="Heading1"/>
        <w:keepNext w:val="0"/>
        <w:keepLines w:val="0"/>
        <w:widowControl w:val="0"/>
        <w:spacing w:before="0" w:after="120"/>
        <w:ind w:left="567" w:hanging="567"/>
        <w:rPr>
          <w:rFonts w:cs="Arial"/>
          <w:sz w:val="24"/>
          <w:szCs w:val="24"/>
        </w:rPr>
      </w:pPr>
      <w:bookmarkStart w:id="9" w:name="_Toc120720202"/>
      <w:bookmarkStart w:id="10" w:name="_Toc123192559"/>
      <w:bookmarkStart w:id="11" w:name="_Toc129940292"/>
      <w:r w:rsidRPr="009827C2">
        <w:rPr>
          <w:rFonts w:cs="Arial"/>
          <w:sz w:val="24"/>
          <w:szCs w:val="24"/>
        </w:rPr>
        <w:t>Roles and responsibilities</w:t>
      </w:r>
      <w:bookmarkEnd w:id="9"/>
      <w:bookmarkEnd w:id="10"/>
      <w:bookmarkEnd w:id="11"/>
    </w:p>
    <w:p w14:paraId="758AB4EB" w14:textId="08CE9450" w:rsidR="00E06F93" w:rsidRPr="009827C2" w:rsidRDefault="00E06F93" w:rsidP="00E06F93">
      <w:pPr>
        <w:pStyle w:val="Indentedparagraph"/>
        <w:rPr>
          <w:rFonts w:cs="Arial"/>
          <w:sz w:val="24"/>
          <w:szCs w:val="24"/>
        </w:rPr>
      </w:pPr>
      <w:r w:rsidRPr="009827C2">
        <w:rPr>
          <w:rFonts w:cs="Arial"/>
          <w:sz w:val="24"/>
          <w:szCs w:val="24"/>
        </w:rPr>
        <w:t xml:space="preserve">This section describes the </w:t>
      </w:r>
      <w:r w:rsidR="00A836C1">
        <w:rPr>
          <w:rFonts w:cs="Arial"/>
          <w:sz w:val="24"/>
          <w:szCs w:val="24"/>
        </w:rPr>
        <w:t>Subcommittee</w:t>
      </w:r>
      <w:r w:rsidRPr="009827C2">
        <w:rPr>
          <w:rFonts w:cs="Arial"/>
          <w:sz w:val="24"/>
          <w:szCs w:val="24"/>
        </w:rPr>
        <w:t>’s duties, authority, accountability and reporting.</w:t>
      </w:r>
    </w:p>
    <w:p w14:paraId="654B89E3" w14:textId="77777777" w:rsidR="00E06F93" w:rsidRPr="009827C2" w:rsidRDefault="00E06F93" w:rsidP="00E06F93">
      <w:pPr>
        <w:pStyle w:val="Heading2"/>
        <w:keepNext w:val="0"/>
        <w:keepLines w:val="0"/>
        <w:widowControl w:val="0"/>
        <w:numPr>
          <w:ilvl w:val="1"/>
          <w:numId w:val="0"/>
        </w:numPr>
        <w:spacing w:before="240" w:after="120"/>
        <w:ind w:left="567" w:hanging="567"/>
        <w:rPr>
          <w:rFonts w:ascii="Arial" w:hAnsi="Arial" w:cs="Arial"/>
          <w:sz w:val="24"/>
          <w:szCs w:val="24"/>
        </w:rPr>
      </w:pPr>
      <w:bookmarkStart w:id="12" w:name="_Toc120720203"/>
      <w:bookmarkStart w:id="13" w:name="_Toc123192560"/>
      <w:bookmarkStart w:id="14" w:name="_Toc129940293"/>
      <w:r w:rsidRPr="009827C2">
        <w:rPr>
          <w:rFonts w:ascii="Arial" w:hAnsi="Arial" w:cs="Arial"/>
          <w:sz w:val="24"/>
          <w:szCs w:val="24"/>
        </w:rPr>
        <w:t>Duties</w:t>
      </w:r>
      <w:bookmarkEnd w:id="12"/>
      <w:bookmarkEnd w:id="13"/>
      <w:bookmarkEnd w:id="14"/>
      <w:r w:rsidRPr="009827C2">
        <w:rPr>
          <w:rFonts w:ascii="Arial" w:hAnsi="Arial" w:cs="Arial"/>
          <w:sz w:val="24"/>
          <w:szCs w:val="24"/>
        </w:rPr>
        <w:t xml:space="preserve"> </w:t>
      </w:r>
    </w:p>
    <w:p w14:paraId="21DAA1F8" w14:textId="4A6AF7E4" w:rsidR="00733E15" w:rsidRPr="009827C2" w:rsidRDefault="00733E15" w:rsidP="00733E15">
      <w:pPr>
        <w:ind w:left="567"/>
        <w:contextualSpacing/>
        <w:rPr>
          <w:rFonts w:eastAsia="Calibri"/>
        </w:rPr>
      </w:pPr>
      <w:bookmarkStart w:id="15" w:name="_Hlk127182251"/>
      <w:r w:rsidRPr="009827C2">
        <w:rPr>
          <w:rFonts w:eastAsia="Calibri"/>
        </w:rPr>
        <w:t>The responsibilities of the</w:t>
      </w:r>
      <w:r w:rsidR="00AC3F47" w:rsidRPr="009827C2">
        <w:rPr>
          <w:rFonts w:eastAsia="Calibri"/>
        </w:rPr>
        <w:t xml:space="preserve"> subcommittee</w:t>
      </w:r>
      <w:r w:rsidRPr="009827C2">
        <w:rPr>
          <w:rFonts w:eastAsia="Calibri"/>
        </w:rPr>
        <w:t xml:space="preserve"> are defined Under the NHS (Pharmaceutical and Local Pharmaceutical Services) Regulations 2013 and will be authorised by the ICB Board.  It is expected that PSRC will:</w:t>
      </w:r>
    </w:p>
    <w:p w14:paraId="5B8476AB" w14:textId="77777777" w:rsidR="00733E15" w:rsidRPr="009827C2" w:rsidRDefault="00733E15" w:rsidP="00733E15">
      <w:pPr>
        <w:contextualSpacing/>
        <w:jc w:val="both"/>
        <w:rPr>
          <w:rFonts w:eastAsia="Calibri"/>
        </w:rPr>
      </w:pPr>
    </w:p>
    <w:p w14:paraId="03C95438" w14:textId="6717EE68" w:rsidR="00733E15" w:rsidRPr="009827C2" w:rsidRDefault="00733E15" w:rsidP="00733E15">
      <w:pPr>
        <w:numPr>
          <w:ilvl w:val="0"/>
          <w:numId w:val="35"/>
        </w:numPr>
        <w:ind w:left="1134"/>
        <w:contextualSpacing/>
        <w:rPr>
          <w:rFonts w:eastAsia="Calibri"/>
        </w:rPr>
      </w:pPr>
      <w:r w:rsidRPr="009827C2">
        <w:rPr>
          <w:rFonts w:eastAsia="Calibri"/>
        </w:rPr>
        <w:t>Determine those application</w:t>
      </w:r>
      <w:r w:rsidR="005837B3">
        <w:rPr>
          <w:rFonts w:eastAsia="Calibri"/>
        </w:rPr>
        <w:t>s</w:t>
      </w:r>
      <w:r w:rsidRPr="009827C2">
        <w:rPr>
          <w:rFonts w:eastAsia="Calibri"/>
        </w:rPr>
        <w:t xml:space="preserve"> and notifications received under the NHS (Pharmaceutical and Local Pharmaceutical Services) Regulations 2013 (the 2013 Regulations)</w:t>
      </w:r>
    </w:p>
    <w:p w14:paraId="5DB09081" w14:textId="77777777" w:rsidR="00733E15" w:rsidRPr="009827C2" w:rsidRDefault="00733E15" w:rsidP="00733E15">
      <w:pPr>
        <w:ind w:left="1134"/>
        <w:contextualSpacing/>
        <w:rPr>
          <w:rFonts w:eastAsia="Calibri"/>
        </w:rPr>
      </w:pPr>
    </w:p>
    <w:p w14:paraId="59A48C7D" w14:textId="77777777" w:rsidR="00733E15" w:rsidRPr="009827C2" w:rsidRDefault="00733E15" w:rsidP="00733E15">
      <w:pPr>
        <w:numPr>
          <w:ilvl w:val="0"/>
          <w:numId w:val="35"/>
        </w:numPr>
        <w:ind w:left="1134"/>
        <w:contextualSpacing/>
        <w:rPr>
          <w:rFonts w:eastAsia="Calibri"/>
        </w:rPr>
      </w:pPr>
      <w:r w:rsidRPr="009827C2">
        <w:rPr>
          <w:rFonts w:eastAsia="Calibri"/>
        </w:rPr>
        <w:t xml:space="preserve">Take overall responsibility for resolving issues of non-compliance with the terms of service as set out in the 2013 Regulations by pharmacy and dispensing appliance </w:t>
      </w:r>
      <w:proofErr w:type="gramStart"/>
      <w:r w:rsidRPr="009827C2">
        <w:rPr>
          <w:rFonts w:eastAsia="Calibri"/>
        </w:rPr>
        <w:t>contractors;</w:t>
      </w:r>
      <w:proofErr w:type="gramEnd"/>
    </w:p>
    <w:p w14:paraId="18AE7945" w14:textId="77777777" w:rsidR="00733E15" w:rsidRPr="009827C2" w:rsidRDefault="00733E15" w:rsidP="00733E15">
      <w:pPr>
        <w:ind w:left="1134"/>
        <w:contextualSpacing/>
        <w:rPr>
          <w:rFonts w:eastAsia="Calibri"/>
        </w:rPr>
      </w:pPr>
    </w:p>
    <w:p w14:paraId="786F0815" w14:textId="77777777" w:rsidR="00733E15" w:rsidRPr="009827C2" w:rsidRDefault="00733E15" w:rsidP="00733E15">
      <w:pPr>
        <w:numPr>
          <w:ilvl w:val="0"/>
          <w:numId w:val="35"/>
        </w:numPr>
        <w:ind w:left="1134"/>
        <w:contextualSpacing/>
        <w:rPr>
          <w:rFonts w:eastAsia="Calibri"/>
        </w:rPr>
      </w:pPr>
      <w:r w:rsidRPr="009827C2">
        <w:rPr>
          <w:rFonts w:eastAsia="Calibri"/>
        </w:rPr>
        <w:t>Make decisions on whether an essential small pharmacy local pharmaceutical services (EPSLPS) contract is to be terminated in line with the provisions of the contract</w:t>
      </w:r>
    </w:p>
    <w:p w14:paraId="5695FA6C" w14:textId="77777777" w:rsidR="00733E15" w:rsidRPr="009827C2" w:rsidRDefault="00733E15" w:rsidP="00733E15">
      <w:pPr>
        <w:pStyle w:val="ListParagraph"/>
        <w:ind w:left="1134"/>
        <w:rPr>
          <w:rFonts w:eastAsia="Calibri"/>
        </w:rPr>
      </w:pPr>
    </w:p>
    <w:p w14:paraId="52B4F78C" w14:textId="32C32B6D" w:rsidR="00733E15" w:rsidRPr="009827C2" w:rsidRDefault="00733E15" w:rsidP="00733E15">
      <w:pPr>
        <w:numPr>
          <w:ilvl w:val="0"/>
          <w:numId w:val="35"/>
        </w:numPr>
        <w:ind w:left="1134"/>
        <w:contextualSpacing/>
        <w:rPr>
          <w:rFonts w:eastAsia="Calibri"/>
        </w:rPr>
      </w:pPr>
      <w:r w:rsidRPr="009827C2">
        <w:rPr>
          <w:rFonts w:eastAsia="Calibri"/>
        </w:rPr>
        <w:lastRenderedPageBreak/>
        <w:t>H</w:t>
      </w:r>
      <w:r w:rsidR="005837B3">
        <w:rPr>
          <w:rFonts w:eastAsia="Calibri"/>
        </w:rPr>
        <w:t xml:space="preserve">ealth and </w:t>
      </w:r>
      <w:r w:rsidRPr="009827C2">
        <w:rPr>
          <w:rFonts w:eastAsia="Calibri"/>
        </w:rPr>
        <w:t>W</w:t>
      </w:r>
      <w:r w:rsidR="005837B3">
        <w:rPr>
          <w:rFonts w:eastAsia="Calibri"/>
        </w:rPr>
        <w:t xml:space="preserve">ellbeing </w:t>
      </w:r>
      <w:r w:rsidRPr="009827C2">
        <w:rPr>
          <w:rFonts w:eastAsia="Calibri"/>
        </w:rPr>
        <w:t>B</w:t>
      </w:r>
      <w:r w:rsidR="005837B3">
        <w:rPr>
          <w:rFonts w:eastAsia="Calibri"/>
        </w:rPr>
        <w:t>oard</w:t>
      </w:r>
      <w:r w:rsidRPr="009827C2">
        <w:rPr>
          <w:rFonts w:eastAsia="Calibri"/>
        </w:rPr>
        <w:t xml:space="preserve">s are responsible for identifying current or future needs for, or improvements or better access to, a pharmaceutical service or pharmaceutical services in general via the pharmaceutical needs assessment (PNA). The PSRC is required to review the PNAs in its area and to record the actions taken to address identified needs, improvements or better access whether this is via the market entry process or through local commissioning processes. </w:t>
      </w:r>
    </w:p>
    <w:p w14:paraId="0389886F" w14:textId="77777777" w:rsidR="00733E15" w:rsidRPr="009827C2" w:rsidRDefault="00733E15" w:rsidP="00733E15">
      <w:pPr>
        <w:contextualSpacing/>
        <w:rPr>
          <w:rFonts w:eastAsia="Calibri"/>
        </w:rPr>
      </w:pPr>
    </w:p>
    <w:p w14:paraId="4E43C43E" w14:textId="77CD9DD8" w:rsidR="00733E15" w:rsidRPr="009827C2" w:rsidRDefault="00733E15" w:rsidP="00733E15">
      <w:pPr>
        <w:ind w:left="567"/>
        <w:contextualSpacing/>
        <w:rPr>
          <w:rFonts w:eastAsia="Calibri"/>
        </w:rPr>
      </w:pPr>
      <w:r w:rsidRPr="009827C2">
        <w:rPr>
          <w:rFonts w:eastAsia="Calibri"/>
        </w:rPr>
        <w:t xml:space="preserve">Delegated authority is given to the nominated </w:t>
      </w:r>
      <w:r w:rsidR="005837B3">
        <w:rPr>
          <w:rFonts w:eastAsia="Calibri"/>
        </w:rPr>
        <w:t>Primary Care</w:t>
      </w:r>
      <w:r w:rsidRPr="009827C2">
        <w:rPr>
          <w:rFonts w:eastAsia="Calibri"/>
        </w:rPr>
        <w:t xml:space="preserve"> Contract Manager (PCM) to determine those applications and notifications delegated in the regulations.  Where necessary the nominated PCM may escalate an application of notification to the PSRC.  If, due to annual or sick leave, the nominated PCM is unable to determine an application or notification with the regulatory timescale it is to be determined by the PSRC.</w:t>
      </w:r>
    </w:p>
    <w:bookmarkEnd w:id="15"/>
    <w:p w14:paraId="78D37BF6" w14:textId="77777777" w:rsidR="00E06F93" w:rsidRPr="009827C2" w:rsidRDefault="00E06F93" w:rsidP="00E06F93">
      <w:pPr>
        <w:ind w:left="567"/>
        <w:rPr>
          <w:color w:val="FF0000"/>
          <w:highlight w:val="yellow"/>
        </w:rPr>
      </w:pPr>
    </w:p>
    <w:p w14:paraId="64479782" w14:textId="77777777" w:rsidR="00E06F93" w:rsidRPr="009827C2" w:rsidRDefault="00E06F93" w:rsidP="00E06F93">
      <w:pPr>
        <w:pStyle w:val="Heading2"/>
        <w:keepNext w:val="0"/>
        <w:keepLines w:val="0"/>
        <w:widowControl w:val="0"/>
        <w:numPr>
          <w:ilvl w:val="1"/>
          <w:numId w:val="0"/>
        </w:numPr>
        <w:spacing w:before="240" w:after="120"/>
        <w:ind w:left="567" w:hanging="567"/>
        <w:rPr>
          <w:rFonts w:ascii="Arial" w:hAnsi="Arial" w:cs="Arial"/>
          <w:sz w:val="24"/>
          <w:szCs w:val="24"/>
        </w:rPr>
      </w:pPr>
      <w:bookmarkStart w:id="16" w:name="_Toc120720208"/>
      <w:bookmarkStart w:id="17" w:name="_Toc123192561"/>
      <w:bookmarkStart w:id="18" w:name="_Toc129940294"/>
      <w:r w:rsidRPr="009827C2">
        <w:rPr>
          <w:rFonts w:ascii="Arial" w:hAnsi="Arial" w:cs="Arial"/>
          <w:sz w:val="24"/>
          <w:szCs w:val="24"/>
        </w:rPr>
        <w:t>Authority</w:t>
      </w:r>
      <w:bookmarkEnd w:id="16"/>
      <w:bookmarkEnd w:id="17"/>
      <w:bookmarkEnd w:id="18"/>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E06F93" w:rsidRPr="009827C2" w14:paraId="03E2F96B" w14:textId="77777777" w:rsidTr="002B7C5B">
        <w:trPr>
          <w:trHeight w:val="536"/>
          <w:tblHeader/>
        </w:trPr>
        <w:tc>
          <w:tcPr>
            <w:tcW w:w="8936" w:type="dxa"/>
            <w:gridSpan w:val="2"/>
            <w:shd w:val="clear" w:color="auto" w:fill="EEECE1" w:themeFill="background2"/>
            <w:vAlign w:val="center"/>
          </w:tcPr>
          <w:p w14:paraId="298C3BE8" w14:textId="782832DC" w:rsidR="00E06F93" w:rsidRPr="009827C2" w:rsidRDefault="00E06F93" w:rsidP="002B7C5B">
            <w:pPr>
              <w:ind w:right="2974"/>
              <w:rPr>
                <w:b/>
                <w:bCs/>
              </w:rPr>
            </w:pPr>
            <w:r w:rsidRPr="009827C2">
              <w:rPr>
                <w:b/>
                <w:bCs/>
              </w:rPr>
              <w:t xml:space="preserve">The </w:t>
            </w:r>
            <w:r w:rsidR="00A836C1">
              <w:rPr>
                <w:b/>
                <w:bCs/>
              </w:rPr>
              <w:t>Subcommittee</w:t>
            </w:r>
            <w:r w:rsidRPr="009827C2">
              <w:rPr>
                <w:b/>
                <w:bCs/>
              </w:rPr>
              <w:t xml:space="preserve"> is authorised to:</w:t>
            </w:r>
          </w:p>
        </w:tc>
      </w:tr>
      <w:tr w:rsidR="00E06F93" w:rsidRPr="009827C2" w14:paraId="731C3BF5" w14:textId="77777777" w:rsidTr="002B7C5B">
        <w:tc>
          <w:tcPr>
            <w:tcW w:w="2699" w:type="dxa"/>
          </w:tcPr>
          <w:p w14:paraId="358731F2" w14:textId="77777777" w:rsidR="00E06F93" w:rsidRPr="009827C2" w:rsidRDefault="00E06F93" w:rsidP="002B7C5B">
            <w:pPr>
              <w:ind w:right="-397"/>
              <w:rPr>
                <w:b/>
                <w:bCs/>
              </w:rPr>
            </w:pPr>
            <w:r w:rsidRPr="009827C2">
              <w:rPr>
                <w:b/>
                <w:bCs/>
              </w:rPr>
              <w:t>Investigate</w:t>
            </w:r>
          </w:p>
        </w:tc>
        <w:tc>
          <w:tcPr>
            <w:tcW w:w="6237" w:type="dxa"/>
          </w:tcPr>
          <w:p w14:paraId="1E93F3F9" w14:textId="77777777" w:rsidR="00E06F93" w:rsidRPr="009827C2" w:rsidRDefault="00E06F93" w:rsidP="002B7C5B">
            <w:pPr>
              <w:ind w:right="179"/>
            </w:pPr>
            <w:r w:rsidRPr="009827C2">
              <w:t>Investigate any activity within its terms of reference.</w:t>
            </w:r>
          </w:p>
          <w:p w14:paraId="2D034FE1" w14:textId="77777777" w:rsidR="00E06F93" w:rsidRPr="009827C2" w:rsidRDefault="00E06F93" w:rsidP="002B7C5B">
            <w:pPr>
              <w:ind w:right="179"/>
            </w:pPr>
          </w:p>
        </w:tc>
      </w:tr>
      <w:tr w:rsidR="00E06F93" w:rsidRPr="009827C2" w14:paraId="2A8581FC" w14:textId="77777777" w:rsidTr="002B7C5B">
        <w:tc>
          <w:tcPr>
            <w:tcW w:w="2699" w:type="dxa"/>
          </w:tcPr>
          <w:p w14:paraId="1D352250" w14:textId="77777777" w:rsidR="00E06F93" w:rsidRPr="009827C2" w:rsidRDefault="00E06F93" w:rsidP="002B7C5B">
            <w:pPr>
              <w:ind w:right="-397"/>
              <w:rPr>
                <w:b/>
                <w:bCs/>
              </w:rPr>
            </w:pPr>
            <w:r w:rsidRPr="009827C2">
              <w:rPr>
                <w:b/>
                <w:bCs/>
              </w:rPr>
              <w:t>Seek information</w:t>
            </w:r>
          </w:p>
        </w:tc>
        <w:tc>
          <w:tcPr>
            <w:tcW w:w="6237" w:type="dxa"/>
          </w:tcPr>
          <w:p w14:paraId="1A7217BA" w14:textId="77777777" w:rsidR="00E06F93" w:rsidRPr="009827C2" w:rsidRDefault="00E06F93" w:rsidP="002B7C5B">
            <w:pPr>
              <w:ind w:right="179"/>
            </w:pPr>
            <w:r w:rsidRPr="009827C2">
              <w:t>Seek any information it requires within its remit, from any employee or member of the Board.</w:t>
            </w:r>
          </w:p>
          <w:p w14:paraId="26050B0C" w14:textId="77777777" w:rsidR="00E06F93" w:rsidRPr="009827C2" w:rsidRDefault="00E06F93" w:rsidP="002B7C5B">
            <w:pPr>
              <w:ind w:right="179"/>
            </w:pPr>
          </w:p>
        </w:tc>
      </w:tr>
      <w:tr w:rsidR="00E06F93" w:rsidRPr="009827C2" w14:paraId="50A7CC85" w14:textId="77777777" w:rsidTr="002B7C5B">
        <w:tc>
          <w:tcPr>
            <w:tcW w:w="2699" w:type="dxa"/>
          </w:tcPr>
          <w:p w14:paraId="5ED863FB" w14:textId="77777777" w:rsidR="00E06F93" w:rsidRPr="009827C2" w:rsidRDefault="00E06F93" w:rsidP="002B7C5B">
            <w:pPr>
              <w:ind w:right="-397"/>
              <w:rPr>
                <w:b/>
                <w:bCs/>
              </w:rPr>
            </w:pPr>
            <w:r w:rsidRPr="009827C2">
              <w:rPr>
                <w:b/>
                <w:bCs/>
              </w:rPr>
              <w:t>Investigate</w:t>
            </w:r>
          </w:p>
        </w:tc>
        <w:tc>
          <w:tcPr>
            <w:tcW w:w="6237" w:type="dxa"/>
          </w:tcPr>
          <w:p w14:paraId="2E80804E" w14:textId="77777777" w:rsidR="00E06F93" w:rsidRPr="009827C2" w:rsidRDefault="00E06F93" w:rsidP="002B7C5B">
            <w:pPr>
              <w:ind w:right="179"/>
            </w:pPr>
            <w:r w:rsidRPr="009827C2">
              <w:t>Commission reports required to help fulfil its obligations from NECS.</w:t>
            </w:r>
          </w:p>
          <w:p w14:paraId="12C70E4D" w14:textId="77777777" w:rsidR="00E06F93" w:rsidRPr="009827C2" w:rsidRDefault="00E06F93" w:rsidP="002B7C5B">
            <w:pPr>
              <w:ind w:right="179"/>
            </w:pPr>
          </w:p>
          <w:p w14:paraId="797C4AE7" w14:textId="07488D67" w:rsidR="00E06F93" w:rsidRPr="009827C2" w:rsidRDefault="00E06F93" w:rsidP="002B7C5B">
            <w:pPr>
              <w:ind w:right="179"/>
            </w:pPr>
            <w:r w:rsidRPr="009827C2">
              <w:t xml:space="preserve">Commission reports required to help fulfil its obligations from Audit One or the ICB's external auditors, in consultation with the </w:t>
            </w:r>
            <w:r w:rsidR="00B404F2">
              <w:t>Chief Finance Officer</w:t>
            </w:r>
          </w:p>
          <w:p w14:paraId="30528332" w14:textId="77777777" w:rsidR="00E06F93" w:rsidRPr="009827C2" w:rsidRDefault="00E06F93" w:rsidP="002B7C5B">
            <w:pPr>
              <w:ind w:right="179"/>
            </w:pPr>
          </w:p>
          <w:p w14:paraId="687FD1A1" w14:textId="1F953CCE" w:rsidR="00E06F93" w:rsidRPr="009827C2" w:rsidRDefault="00E06F93" w:rsidP="002B7C5B">
            <w:pPr>
              <w:ind w:right="179"/>
            </w:pPr>
            <w:r w:rsidRPr="009827C2">
              <w:t xml:space="preserve">Commission other external reports required to help fulfil its obligations, subject to the financial limits of the most senior member of the </w:t>
            </w:r>
            <w:r w:rsidR="00A836C1">
              <w:t>Subcommittee</w:t>
            </w:r>
            <w:r w:rsidRPr="009827C2">
              <w:t xml:space="preserve">.  </w:t>
            </w:r>
          </w:p>
          <w:p w14:paraId="0A99FDBC" w14:textId="77777777" w:rsidR="00E06F93" w:rsidRPr="009827C2" w:rsidRDefault="00E06F93" w:rsidP="002B7C5B">
            <w:pPr>
              <w:ind w:right="179"/>
              <w:rPr>
                <w:highlight w:val="yellow"/>
              </w:rPr>
            </w:pPr>
          </w:p>
        </w:tc>
      </w:tr>
      <w:tr w:rsidR="00E06F93" w:rsidRPr="009827C2" w14:paraId="5240F2CC" w14:textId="77777777" w:rsidTr="002B7C5B">
        <w:tc>
          <w:tcPr>
            <w:tcW w:w="2699" w:type="dxa"/>
          </w:tcPr>
          <w:p w14:paraId="505DDF22" w14:textId="77777777" w:rsidR="00E06F93" w:rsidRPr="009827C2" w:rsidRDefault="00E06F93" w:rsidP="002B7C5B">
            <w:pPr>
              <w:ind w:right="-397"/>
              <w:rPr>
                <w:b/>
                <w:bCs/>
              </w:rPr>
            </w:pPr>
            <w:r w:rsidRPr="009827C2">
              <w:rPr>
                <w:b/>
                <w:bCs/>
              </w:rPr>
              <w:t>Obtain advice</w:t>
            </w:r>
          </w:p>
        </w:tc>
        <w:tc>
          <w:tcPr>
            <w:tcW w:w="6237" w:type="dxa"/>
          </w:tcPr>
          <w:p w14:paraId="3C460CDE" w14:textId="32FC279A" w:rsidR="00E06F93" w:rsidRPr="009827C2" w:rsidRDefault="00E06F93" w:rsidP="002B7C5B">
            <w:pPr>
              <w:ind w:right="179"/>
            </w:pPr>
            <w:r w:rsidRPr="009827C2">
              <w:t xml:space="preserve">Obtain independent professional advice and secure the attendance of advisors with relevant expertise to fulfil its functions.  In doing so, the </w:t>
            </w:r>
            <w:r w:rsidR="00A836C1">
              <w:t>Subcommittee</w:t>
            </w:r>
            <w:r w:rsidRPr="009827C2">
              <w:t xml:space="preserve"> must follow any procedures put in place by the ICB for obtaining professional advice.</w:t>
            </w:r>
          </w:p>
          <w:p w14:paraId="6668819B" w14:textId="77777777" w:rsidR="00E06F93" w:rsidRPr="009827C2" w:rsidRDefault="00E06F93" w:rsidP="002B7C5B">
            <w:pPr>
              <w:ind w:right="179"/>
              <w:rPr>
                <w:highlight w:val="yellow"/>
              </w:rPr>
            </w:pPr>
          </w:p>
        </w:tc>
      </w:tr>
      <w:tr w:rsidR="00E06F93" w:rsidRPr="009827C2" w14:paraId="41F1FAD7" w14:textId="77777777" w:rsidTr="002B7C5B">
        <w:tc>
          <w:tcPr>
            <w:tcW w:w="2699" w:type="dxa"/>
          </w:tcPr>
          <w:p w14:paraId="20AF4DA2" w14:textId="77777777" w:rsidR="00E06F93" w:rsidRPr="009827C2" w:rsidRDefault="00E06F93" w:rsidP="002B7C5B">
            <w:pPr>
              <w:ind w:right="-397"/>
              <w:rPr>
                <w:b/>
                <w:bCs/>
              </w:rPr>
            </w:pPr>
            <w:r w:rsidRPr="009827C2">
              <w:rPr>
                <w:b/>
                <w:bCs/>
              </w:rPr>
              <w:t>Create Groups</w:t>
            </w:r>
          </w:p>
        </w:tc>
        <w:tc>
          <w:tcPr>
            <w:tcW w:w="6237" w:type="dxa"/>
          </w:tcPr>
          <w:p w14:paraId="00420B4F" w14:textId="1348E9EE" w:rsidR="00E06F93" w:rsidRPr="009827C2" w:rsidRDefault="00E06F93" w:rsidP="002B7C5B">
            <w:pPr>
              <w:tabs>
                <w:tab w:val="left" w:pos="851"/>
              </w:tabs>
              <w:ind w:right="193"/>
            </w:pPr>
            <w:r w:rsidRPr="009827C2">
              <w:t xml:space="preserve">Groups may be established by the </w:t>
            </w:r>
            <w:r w:rsidR="00A836C1">
              <w:t>Subcommittee</w:t>
            </w:r>
            <w:r w:rsidRPr="009827C2">
              <w:t xml:space="preserve">,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w:t>
            </w:r>
            <w:r w:rsidRPr="009827C2">
              <w:lastRenderedPageBreak/>
              <w:t>member present at any meeting of the group. Groups may be permanent or task and finish groups.</w:t>
            </w:r>
          </w:p>
          <w:p w14:paraId="00B885CF" w14:textId="77777777" w:rsidR="00E06F93" w:rsidRPr="009827C2" w:rsidRDefault="00E06F93" w:rsidP="002B7C5B">
            <w:pPr>
              <w:ind w:right="181"/>
            </w:pPr>
          </w:p>
        </w:tc>
      </w:tr>
    </w:tbl>
    <w:p w14:paraId="4653B317" w14:textId="0E7A3798" w:rsidR="009E2C07" w:rsidRPr="009827C2" w:rsidRDefault="009E2C07" w:rsidP="009E2C07">
      <w:pPr>
        <w:pStyle w:val="Heading2"/>
        <w:keepNext w:val="0"/>
        <w:keepLines w:val="0"/>
        <w:widowControl w:val="0"/>
        <w:numPr>
          <w:ilvl w:val="1"/>
          <w:numId w:val="0"/>
        </w:numPr>
        <w:spacing w:before="240" w:after="120"/>
        <w:ind w:left="567" w:hanging="567"/>
        <w:rPr>
          <w:rFonts w:ascii="Arial" w:hAnsi="Arial" w:cs="Arial"/>
          <w:sz w:val="24"/>
          <w:szCs w:val="24"/>
        </w:rPr>
      </w:pPr>
    </w:p>
    <w:p w14:paraId="1EC7610C" w14:textId="77777777" w:rsidR="00E06F93" w:rsidRPr="009827C2" w:rsidRDefault="00E06F93" w:rsidP="00E06F93">
      <w:pPr>
        <w:pStyle w:val="Heading2"/>
        <w:keepNext w:val="0"/>
        <w:keepLines w:val="0"/>
        <w:widowControl w:val="0"/>
        <w:numPr>
          <w:ilvl w:val="1"/>
          <w:numId w:val="0"/>
        </w:numPr>
        <w:spacing w:before="240" w:after="120"/>
        <w:ind w:left="567" w:hanging="567"/>
        <w:rPr>
          <w:rFonts w:ascii="Arial" w:hAnsi="Arial" w:cs="Arial"/>
          <w:sz w:val="24"/>
          <w:szCs w:val="24"/>
        </w:rPr>
      </w:pPr>
      <w:bookmarkStart w:id="19" w:name="_Toc120720211"/>
      <w:bookmarkStart w:id="20" w:name="_Toc123192563"/>
      <w:bookmarkStart w:id="21" w:name="_Toc129940296"/>
      <w:r w:rsidRPr="009827C2">
        <w:rPr>
          <w:rFonts w:ascii="Arial" w:hAnsi="Arial" w:cs="Arial"/>
          <w:sz w:val="24"/>
          <w:szCs w:val="24"/>
        </w:rPr>
        <w:t>Accountability and reporting</w:t>
      </w:r>
      <w:bookmarkEnd w:id="19"/>
      <w:bookmarkEnd w:id="20"/>
      <w:bookmarkEnd w:id="21"/>
      <w:r w:rsidRPr="009827C2">
        <w:rPr>
          <w:rFonts w:ascii="Arial" w:hAnsi="Arial" w:cs="Arial"/>
          <w:sz w:val="24"/>
          <w:szCs w:val="24"/>
        </w:rPr>
        <w:t xml:space="preserve"> </w:t>
      </w:r>
    </w:p>
    <w:p w14:paraId="34A2E011" w14:textId="6FF00A6B" w:rsidR="00AC3F47" w:rsidRPr="009827C2" w:rsidRDefault="00AC3F47" w:rsidP="00AC3F47">
      <w:pPr>
        <w:ind w:left="567"/>
        <w:contextualSpacing/>
        <w:rPr>
          <w:rFonts w:eastAsia="Calibri"/>
        </w:rPr>
      </w:pPr>
      <w:r w:rsidRPr="009827C2">
        <w:rPr>
          <w:rFonts w:eastAsia="Calibri"/>
        </w:rPr>
        <w:t xml:space="preserve">The subcommittee is accountable to the ICB through the Executive Committee. The minutes of meetings shall be formally recorded and submitted to the Primary Care Strategy and Delivery Subcommittee and then onward to the Executive Committee, in private or public as appropriate.  </w:t>
      </w:r>
    </w:p>
    <w:p w14:paraId="677AC676" w14:textId="77777777" w:rsidR="00AC3F47" w:rsidRPr="009827C2" w:rsidRDefault="00AC3F47" w:rsidP="00AC3F47">
      <w:pPr>
        <w:ind w:left="567"/>
        <w:contextualSpacing/>
        <w:rPr>
          <w:rFonts w:eastAsia="Calibri"/>
        </w:rPr>
      </w:pPr>
    </w:p>
    <w:p w14:paraId="6C1C9859" w14:textId="77777777" w:rsidR="00AC3F47" w:rsidRPr="009827C2" w:rsidRDefault="00AC3F47" w:rsidP="00AC3F47">
      <w:pPr>
        <w:ind w:left="567"/>
        <w:contextualSpacing/>
        <w:rPr>
          <w:rFonts w:eastAsia="Calibri"/>
        </w:rPr>
      </w:pPr>
      <w:r w:rsidRPr="009827C2">
        <w:rPr>
          <w:rFonts w:eastAsia="Calibri"/>
        </w:rPr>
        <w:t xml:space="preserve">The Chair of the PSRC shall report to the Primary Care Strategy and Delivery Subcommittee after each meeting and provide a report on assurances received, escalating any concerns where necessary. </w:t>
      </w:r>
    </w:p>
    <w:p w14:paraId="200D755C" w14:textId="77777777" w:rsidR="00AC3F47" w:rsidRPr="009827C2" w:rsidRDefault="00AC3F47" w:rsidP="00AC3F47">
      <w:pPr>
        <w:ind w:left="567"/>
        <w:contextualSpacing/>
        <w:rPr>
          <w:rFonts w:eastAsia="Calibri"/>
        </w:rPr>
      </w:pPr>
    </w:p>
    <w:p w14:paraId="3F5C1AF8" w14:textId="1C07976D" w:rsidR="00AC3F47" w:rsidRPr="009827C2" w:rsidRDefault="00AC3F47" w:rsidP="00AC3F47">
      <w:pPr>
        <w:ind w:left="567"/>
        <w:contextualSpacing/>
        <w:rPr>
          <w:rFonts w:eastAsia="Calibri"/>
        </w:rPr>
      </w:pPr>
      <w:r w:rsidRPr="009827C2">
        <w:rPr>
          <w:rFonts w:eastAsia="Calibri"/>
        </w:rPr>
        <w:t>The P</w:t>
      </w:r>
      <w:r w:rsidR="005837B3">
        <w:rPr>
          <w:rFonts w:eastAsia="Calibri"/>
        </w:rPr>
        <w:t>SR</w:t>
      </w:r>
      <w:r w:rsidRPr="009827C2">
        <w:rPr>
          <w:rFonts w:eastAsia="Calibri"/>
        </w:rPr>
        <w:t>C, through its reports and minutes to the Executive Committee and via the Primary Care Strategy and Delivery Subcommittee, will advise on the adequacy of assurances available and contribute to the ICB's Annual Governance Statement.</w:t>
      </w:r>
    </w:p>
    <w:p w14:paraId="4B83800C" w14:textId="77777777" w:rsidR="00AC3F47" w:rsidRPr="009827C2" w:rsidRDefault="00AC3F47" w:rsidP="00AC3F47">
      <w:pPr>
        <w:ind w:left="567"/>
        <w:contextualSpacing/>
        <w:rPr>
          <w:rFonts w:eastAsia="Calibri"/>
        </w:rPr>
      </w:pPr>
    </w:p>
    <w:p w14:paraId="55810C3D" w14:textId="77777777" w:rsidR="00E06F93" w:rsidRPr="009827C2" w:rsidRDefault="00E06F93" w:rsidP="00E06F93">
      <w:pPr>
        <w:pStyle w:val="NormalWeb"/>
        <w:rPr>
          <w:rFonts w:ascii="Arial" w:hAnsi="Arial" w:cs="Arial"/>
        </w:rPr>
      </w:pPr>
      <w:r w:rsidRPr="009827C2">
        <w:rPr>
          <w:rFonts w:ascii="Arial" w:hAnsi="Arial" w:cs="Arial"/>
        </w:rPr>
        <w:tab/>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32"/>
        <w:gridCol w:w="6804"/>
      </w:tblGrid>
      <w:tr w:rsidR="00E06F93" w:rsidRPr="009827C2" w14:paraId="650F67C6" w14:textId="77777777" w:rsidTr="00BE4793">
        <w:trPr>
          <w:trHeight w:val="536"/>
        </w:trPr>
        <w:tc>
          <w:tcPr>
            <w:tcW w:w="2132" w:type="dxa"/>
            <w:shd w:val="clear" w:color="auto" w:fill="EEECE1" w:themeFill="background2"/>
            <w:vAlign w:val="center"/>
          </w:tcPr>
          <w:p w14:paraId="52BF5128" w14:textId="77777777" w:rsidR="00E06F93" w:rsidRPr="009827C2" w:rsidRDefault="00E06F93" w:rsidP="002B7C5B">
            <w:pPr>
              <w:pStyle w:val="ListParagraph"/>
              <w:ind w:left="42"/>
              <w:rPr>
                <w:b/>
                <w:bCs/>
                <w:color w:val="000000" w:themeColor="text1"/>
              </w:rPr>
            </w:pPr>
            <w:r w:rsidRPr="009827C2">
              <w:rPr>
                <w:b/>
                <w:bCs/>
                <w:color w:val="000000" w:themeColor="text1"/>
              </w:rPr>
              <w:t>Accountabilities</w:t>
            </w:r>
          </w:p>
        </w:tc>
        <w:tc>
          <w:tcPr>
            <w:tcW w:w="6804" w:type="dxa"/>
            <w:shd w:val="clear" w:color="auto" w:fill="EEECE1" w:themeFill="background2"/>
            <w:vAlign w:val="center"/>
          </w:tcPr>
          <w:p w14:paraId="109952EF" w14:textId="77777777" w:rsidR="00E06F93" w:rsidRPr="009827C2" w:rsidRDefault="00E06F93" w:rsidP="002B7C5B">
            <w:pPr>
              <w:pStyle w:val="ListParagraph"/>
              <w:rPr>
                <w:b/>
                <w:bCs/>
                <w:color w:val="000000" w:themeColor="text1"/>
              </w:rPr>
            </w:pPr>
            <w:r w:rsidRPr="009827C2">
              <w:rPr>
                <w:b/>
                <w:bCs/>
                <w:color w:val="000000" w:themeColor="text1"/>
              </w:rPr>
              <w:t>Description</w:t>
            </w:r>
          </w:p>
        </w:tc>
      </w:tr>
      <w:tr w:rsidR="00E06F93" w:rsidRPr="009827C2" w14:paraId="172EDA7C" w14:textId="77777777" w:rsidTr="00BE4793">
        <w:tc>
          <w:tcPr>
            <w:tcW w:w="2132" w:type="dxa"/>
          </w:tcPr>
          <w:p w14:paraId="1B0D05AD" w14:textId="77777777" w:rsidR="00E06F93" w:rsidRPr="009827C2" w:rsidRDefault="00E06F93" w:rsidP="002B7C5B">
            <w:pPr>
              <w:spacing w:before="120" w:after="120"/>
              <w:rPr>
                <w:b/>
                <w:bCs/>
                <w:color w:val="000000" w:themeColor="text1"/>
              </w:rPr>
            </w:pPr>
            <w:r w:rsidRPr="009827C2">
              <w:rPr>
                <w:b/>
                <w:bCs/>
                <w:color w:val="000000" w:themeColor="text1"/>
              </w:rPr>
              <w:t>Draft minutes and reports</w:t>
            </w:r>
          </w:p>
        </w:tc>
        <w:tc>
          <w:tcPr>
            <w:tcW w:w="6804" w:type="dxa"/>
          </w:tcPr>
          <w:p w14:paraId="4B77700B" w14:textId="77777777" w:rsidR="00E06F93" w:rsidRPr="009827C2" w:rsidRDefault="00E06F93" w:rsidP="002B7C5B">
            <w:pPr>
              <w:pStyle w:val="Indentedparagraph"/>
              <w:ind w:left="0"/>
              <w:rPr>
                <w:rFonts w:cs="Arial"/>
                <w:sz w:val="24"/>
                <w:szCs w:val="24"/>
              </w:rPr>
            </w:pPr>
            <w:r w:rsidRPr="009827C2">
              <w:rPr>
                <w:rFonts w:cs="Arial"/>
                <w:sz w:val="24"/>
                <w:szCs w:val="24"/>
              </w:rPr>
              <w:t xml:space="preserve">The secretary formally records the minutes of each meeting. </w:t>
            </w:r>
          </w:p>
          <w:p w14:paraId="40124005" w14:textId="7C413B69" w:rsidR="00E06F93" w:rsidRPr="009827C2" w:rsidRDefault="00E06F93" w:rsidP="002B7C5B">
            <w:pPr>
              <w:pStyle w:val="Indentedparagraph"/>
              <w:ind w:left="0"/>
              <w:rPr>
                <w:rFonts w:cs="Arial"/>
                <w:sz w:val="24"/>
                <w:szCs w:val="24"/>
              </w:rPr>
            </w:pPr>
            <w:r w:rsidRPr="009827C2">
              <w:rPr>
                <w:rFonts w:cs="Arial"/>
                <w:sz w:val="24"/>
                <w:szCs w:val="24"/>
              </w:rPr>
              <w:t xml:space="preserve">The chair of the </w:t>
            </w:r>
            <w:r w:rsidR="00A836C1">
              <w:rPr>
                <w:rFonts w:cs="Arial"/>
                <w:sz w:val="24"/>
                <w:szCs w:val="24"/>
              </w:rPr>
              <w:t>Subcommittee</w:t>
            </w:r>
            <w:r w:rsidRPr="009827C2">
              <w:rPr>
                <w:rFonts w:cs="Arial"/>
                <w:sz w:val="24"/>
                <w:szCs w:val="24"/>
              </w:rPr>
              <w:t xml:space="preserve"> reports to its parent committee </w:t>
            </w:r>
            <w:r w:rsidR="009827C2" w:rsidRPr="009827C2">
              <w:rPr>
                <w:rFonts w:cs="Arial"/>
                <w:sz w:val="24"/>
                <w:szCs w:val="24"/>
              </w:rPr>
              <w:t>and the Primary Care Strategy and Delivery S</w:t>
            </w:r>
            <w:r w:rsidR="00C43E88">
              <w:rPr>
                <w:rFonts w:cs="Arial"/>
                <w:sz w:val="24"/>
                <w:szCs w:val="24"/>
              </w:rPr>
              <w:t>u</w:t>
            </w:r>
            <w:r w:rsidR="009827C2" w:rsidRPr="009827C2">
              <w:rPr>
                <w:rFonts w:cs="Arial"/>
                <w:sz w:val="24"/>
                <w:szCs w:val="24"/>
              </w:rPr>
              <w:t>bcommittee</w:t>
            </w:r>
            <w:r w:rsidR="00C43E88">
              <w:rPr>
                <w:rFonts w:cs="Arial"/>
                <w:sz w:val="24"/>
                <w:szCs w:val="24"/>
              </w:rPr>
              <w:t xml:space="preserve"> </w:t>
            </w:r>
            <w:r w:rsidRPr="009827C2">
              <w:rPr>
                <w:rFonts w:cs="Arial"/>
                <w:sz w:val="24"/>
                <w:szCs w:val="24"/>
              </w:rPr>
              <w:t>after each meeting and provides a report on assurances received, escalating any concerns, where necessary.</w:t>
            </w:r>
          </w:p>
        </w:tc>
      </w:tr>
      <w:tr w:rsidR="00E06F93" w:rsidRPr="009827C2" w14:paraId="790FD9E9" w14:textId="77777777" w:rsidTr="00BE4793">
        <w:tc>
          <w:tcPr>
            <w:tcW w:w="2132" w:type="dxa"/>
          </w:tcPr>
          <w:p w14:paraId="7B807247" w14:textId="77777777" w:rsidR="00E06F93" w:rsidRPr="009827C2" w:rsidRDefault="00E06F93" w:rsidP="002B7C5B">
            <w:pPr>
              <w:spacing w:before="120" w:after="120"/>
              <w:rPr>
                <w:b/>
                <w:bCs/>
                <w:color w:val="000000" w:themeColor="text1"/>
              </w:rPr>
            </w:pPr>
            <w:r w:rsidRPr="009827C2">
              <w:rPr>
                <w:b/>
                <w:bCs/>
                <w:color w:val="000000" w:themeColor="text1"/>
              </w:rPr>
              <w:t>Monitor attendance</w:t>
            </w:r>
          </w:p>
        </w:tc>
        <w:tc>
          <w:tcPr>
            <w:tcW w:w="6804" w:type="dxa"/>
          </w:tcPr>
          <w:p w14:paraId="09AD0695" w14:textId="76863813" w:rsidR="00E06F93" w:rsidRPr="009827C2" w:rsidRDefault="00E06F93" w:rsidP="002B7C5B">
            <w:pPr>
              <w:spacing w:before="120" w:after="120"/>
              <w:rPr>
                <w:color w:val="000000" w:themeColor="text1"/>
              </w:rPr>
            </w:pPr>
            <w:r w:rsidRPr="009827C2">
              <w:rPr>
                <w:color w:val="000000" w:themeColor="text1"/>
              </w:rPr>
              <w:t xml:space="preserve">Attendance is monitored and profiled as part of the agenda at each </w:t>
            </w:r>
            <w:r w:rsidR="00A836C1">
              <w:rPr>
                <w:color w:val="000000" w:themeColor="text1"/>
              </w:rPr>
              <w:t>Subcommittee</w:t>
            </w:r>
            <w:r w:rsidRPr="009827C2">
              <w:rPr>
                <w:color w:val="000000" w:themeColor="text1"/>
              </w:rPr>
              <w:t xml:space="preserve"> meeting. </w:t>
            </w:r>
          </w:p>
          <w:p w14:paraId="4DE22E1C" w14:textId="77777777" w:rsidR="00E06F93" w:rsidRPr="009827C2" w:rsidRDefault="00E06F93" w:rsidP="002B7C5B">
            <w:pPr>
              <w:spacing w:before="120" w:after="120"/>
              <w:rPr>
                <w:color w:val="000000" w:themeColor="text1"/>
              </w:rPr>
            </w:pPr>
            <w:r w:rsidRPr="009827C2">
              <w:rPr>
                <w:color w:val="000000" w:themeColor="text1"/>
              </w:rPr>
              <w:t>Members should aim to attend 100% of meetings and must attend at least 75% of meetings and read all papers beforehand.</w:t>
            </w:r>
          </w:p>
        </w:tc>
      </w:tr>
      <w:tr w:rsidR="00E06F93" w:rsidRPr="009827C2" w14:paraId="2BA22E4A" w14:textId="77777777" w:rsidTr="00BE4793">
        <w:tc>
          <w:tcPr>
            <w:tcW w:w="2132" w:type="dxa"/>
          </w:tcPr>
          <w:p w14:paraId="7027B581" w14:textId="77777777" w:rsidR="00E06F93" w:rsidRPr="009827C2" w:rsidRDefault="00E06F93" w:rsidP="002B7C5B">
            <w:pPr>
              <w:spacing w:before="120" w:after="120"/>
              <w:rPr>
                <w:b/>
                <w:bCs/>
                <w:color w:val="000000" w:themeColor="text1"/>
              </w:rPr>
            </w:pPr>
            <w:r w:rsidRPr="009827C2">
              <w:rPr>
                <w:b/>
                <w:bCs/>
                <w:color w:val="000000" w:themeColor="text1"/>
              </w:rPr>
              <w:t>Draft annual work plans</w:t>
            </w:r>
          </w:p>
        </w:tc>
        <w:tc>
          <w:tcPr>
            <w:tcW w:w="6804" w:type="dxa"/>
          </w:tcPr>
          <w:p w14:paraId="7A2D7015" w14:textId="37193DB2" w:rsidR="00E06F93" w:rsidRPr="009827C2" w:rsidRDefault="00E06F93" w:rsidP="002B7C5B">
            <w:pPr>
              <w:spacing w:before="120" w:after="120"/>
              <w:rPr>
                <w:color w:val="000000" w:themeColor="text1"/>
              </w:rPr>
            </w:pPr>
            <w:r w:rsidRPr="009827C2">
              <w:rPr>
                <w:color w:val="000000" w:themeColor="text1"/>
              </w:rPr>
              <w:t xml:space="preserve">The </w:t>
            </w:r>
            <w:r w:rsidR="00A836C1">
              <w:rPr>
                <w:color w:val="000000" w:themeColor="text1"/>
              </w:rPr>
              <w:t>Subcommittee</w:t>
            </w:r>
            <w:r w:rsidRPr="009827C2">
              <w:rPr>
                <w:color w:val="000000" w:themeColor="text1"/>
              </w:rPr>
              <w:t xml:space="preserve"> produces an annual work plan in consultation with its parent committee.</w:t>
            </w:r>
          </w:p>
          <w:p w14:paraId="3E6B0B6D" w14:textId="2E73B3E2" w:rsidR="002F6FAB" w:rsidRPr="009827C2" w:rsidRDefault="002F6FAB" w:rsidP="002B7C5B">
            <w:pPr>
              <w:spacing w:before="120" w:after="120"/>
              <w:rPr>
                <w:color w:val="FF0000"/>
              </w:rPr>
            </w:pPr>
          </w:p>
        </w:tc>
      </w:tr>
      <w:tr w:rsidR="00E06F93" w:rsidRPr="009827C2" w14:paraId="1E6B10E0" w14:textId="77777777" w:rsidTr="00BE4793">
        <w:tc>
          <w:tcPr>
            <w:tcW w:w="2132" w:type="dxa"/>
          </w:tcPr>
          <w:p w14:paraId="07D6909F" w14:textId="77777777" w:rsidR="00E06F93" w:rsidRPr="009827C2" w:rsidRDefault="00E06F93" w:rsidP="002B7C5B">
            <w:pPr>
              <w:spacing w:before="120" w:after="120"/>
              <w:rPr>
                <w:b/>
                <w:bCs/>
                <w:color w:val="000000" w:themeColor="text1"/>
              </w:rPr>
            </w:pPr>
            <w:r w:rsidRPr="009827C2">
              <w:rPr>
                <w:b/>
                <w:bCs/>
                <w:color w:val="000000" w:themeColor="text1"/>
              </w:rPr>
              <w:t>Conduct annual self-assessment</w:t>
            </w:r>
          </w:p>
        </w:tc>
        <w:tc>
          <w:tcPr>
            <w:tcW w:w="6804" w:type="dxa"/>
          </w:tcPr>
          <w:p w14:paraId="64570361" w14:textId="3E9E5502" w:rsidR="00E06F93" w:rsidRPr="009827C2" w:rsidRDefault="00E06F93" w:rsidP="002B7C5B">
            <w:pPr>
              <w:spacing w:before="120" w:after="120"/>
              <w:rPr>
                <w:color w:val="000000" w:themeColor="text1"/>
              </w:rPr>
            </w:pPr>
            <w:r w:rsidRPr="009827C2">
              <w:rPr>
                <w:color w:val="000000" w:themeColor="text1"/>
              </w:rPr>
              <w:t xml:space="preserve">Any resulting proposed changes to the terms of reference </w:t>
            </w:r>
            <w:r w:rsidR="008907D4" w:rsidRPr="009827C2">
              <w:rPr>
                <w:color w:val="000000" w:themeColor="text1"/>
              </w:rPr>
              <w:t>are submitted</w:t>
            </w:r>
            <w:r w:rsidRPr="009827C2">
              <w:rPr>
                <w:color w:val="000000" w:themeColor="text1"/>
              </w:rPr>
              <w:t xml:space="preserve"> to the parent committee for agreement and action as the 'Establishing </w:t>
            </w:r>
            <w:r w:rsidR="00A836C1">
              <w:rPr>
                <w:color w:val="000000" w:themeColor="text1"/>
              </w:rPr>
              <w:t>Subcommittee</w:t>
            </w:r>
            <w:r w:rsidRPr="009827C2">
              <w:rPr>
                <w:color w:val="000000" w:themeColor="text1"/>
              </w:rPr>
              <w:t xml:space="preserve">s' </w:t>
            </w:r>
            <w:proofErr w:type="spellStart"/>
            <w:r w:rsidRPr="009827C2">
              <w:rPr>
                <w:color w:val="000000" w:themeColor="text1"/>
              </w:rPr>
              <w:t>SoP</w:t>
            </w:r>
            <w:proofErr w:type="spellEnd"/>
            <w:r w:rsidRPr="009827C2">
              <w:rPr>
                <w:color w:val="000000" w:themeColor="text1"/>
              </w:rPr>
              <w:t>.</w:t>
            </w:r>
          </w:p>
          <w:p w14:paraId="79299965" w14:textId="5DEF6837" w:rsidR="00E06F93" w:rsidRPr="009827C2" w:rsidRDefault="00E06F93" w:rsidP="002B7C5B">
            <w:pPr>
              <w:spacing w:before="120" w:after="120"/>
              <w:rPr>
                <w:color w:val="000000" w:themeColor="text1"/>
              </w:rPr>
            </w:pPr>
            <w:r w:rsidRPr="009827C2">
              <w:rPr>
                <w:color w:val="000000" w:themeColor="text1"/>
              </w:rPr>
              <w:t xml:space="preserve">The </w:t>
            </w:r>
            <w:r w:rsidR="00A836C1">
              <w:rPr>
                <w:color w:val="000000" w:themeColor="text1"/>
              </w:rPr>
              <w:t>Subcommittee</w:t>
            </w:r>
            <w:r w:rsidRPr="009827C2">
              <w:rPr>
                <w:color w:val="000000" w:themeColor="text1"/>
              </w:rPr>
              <w:t xml:space="preserve"> utilises a continuous improvement approach in its delegation.</w:t>
            </w:r>
          </w:p>
          <w:p w14:paraId="4BEEACE1" w14:textId="77777777" w:rsidR="00E06F93" w:rsidRPr="009827C2" w:rsidRDefault="00E06F93" w:rsidP="002B7C5B">
            <w:pPr>
              <w:spacing w:before="120" w:after="120"/>
              <w:rPr>
                <w:b/>
                <w:color w:val="000000" w:themeColor="text1"/>
              </w:rPr>
            </w:pPr>
            <w:r w:rsidRPr="009827C2">
              <w:rPr>
                <w:color w:val="000000" w:themeColor="text1"/>
              </w:rPr>
              <w:lastRenderedPageBreak/>
              <w:t>Members review the effectiveness of the meeting at each sitting.</w:t>
            </w:r>
          </w:p>
        </w:tc>
      </w:tr>
      <w:tr w:rsidR="00E06F93" w:rsidRPr="009827C2" w14:paraId="7A96FADB" w14:textId="77777777" w:rsidTr="00BE4793">
        <w:tc>
          <w:tcPr>
            <w:tcW w:w="2132" w:type="dxa"/>
          </w:tcPr>
          <w:p w14:paraId="0C7332C0" w14:textId="77777777" w:rsidR="00E06F93" w:rsidRPr="009827C2" w:rsidRDefault="00E06F93" w:rsidP="002B7C5B">
            <w:pPr>
              <w:spacing w:before="120"/>
              <w:rPr>
                <w:b/>
                <w:bCs/>
                <w:color w:val="000000" w:themeColor="text1"/>
              </w:rPr>
            </w:pPr>
            <w:r w:rsidRPr="009827C2">
              <w:rPr>
                <w:b/>
                <w:bCs/>
                <w:color w:val="000000" w:themeColor="text1"/>
              </w:rPr>
              <w:lastRenderedPageBreak/>
              <w:t>Annual Report</w:t>
            </w:r>
          </w:p>
        </w:tc>
        <w:tc>
          <w:tcPr>
            <w:tcW w:w="6804" w:type="dxa"/>
          </w:tcPr>
          <w:p w14:paraId="3A6EAD44" w14:textId="2E6A5128" w:rsidR="00E06F93" w:rsidRPr="009827C2" w:rsidRDefault="00E06F93" w:rsidP="002B7C5B">
            <w:pPr>
              <w:spacing w:before="120"/>
              <w:rPr>
                <w:rFonts w:eastAsiaTheme="majorEastAsia"/>
                <w:color w:val="000000" w:themeColor="text1"/>
              </w:rPr>
            </w:pPr>
            <w:r w:rsidRPr="009827C2">
              <w:rPr>
                <w:color w:val="000000" w:themeColor="text1"/>
              </w:rPr>
              <w:t xml:space="preserve">The </w:t>
            </w:r>
            <w:r w:rsidR="00A836C1">
              <w:rPr>
                <w:color w:val="000000" w:themeColor="text1"/>
              </w:rPr>
              <w:t>Subcommittee</w:t>
            </w:r>
            <w:r w:rsidRPr="009827C2">
              <w:rPr>
                <w:color w:val="000000" w:themeColor="text1"/>
              </w:rPr>
              <w:t xml:space="preserve"> provides its parent committee with an annual report, timed to support finalisation of the accounts and the governance statement. </w:t>
            </w:r>
          </w:p>
          <w:p w14:paraId="42F9E86A" w14:textId="77777777" w:rsidR="00E06F93" w:rsidRPr="009827C2" w:rsidRDefault="00E06F93" w:rsidP="002B7C5B">
            <w:pPr>
              <w:rPr>
                <w:color w:val="000000" w:themeColor="text1"/>
              </w:rPr>
            </w:pPr>
          </w:p>
          <w:p w14:paraId="0855F4C4" w14:textId="77777777" w:rsidR="00E06F93" w:rsidRPr="009827C2" w:rsidRDefault="00E06F93" w:rsidP="002B7C5B">
            <w:pPr>
              <w:rPr>
                <w:rFonts w:eastAsiaTheme="majorEastAsia"/>
                <w:color w:val="000000" w:themeColor="text1"/>
              </w:rPr>
            </w:pPr>
            <w:r w:rsidRPr="009827C2">
              <w:rPr>
                <w:color w:val="000000" w:themeColor="text1"/>
              </w:rPr>
              <w:t>The report includes:</w:t>
            </w:r>
          </w:p>
          <w:p w14:paraId="649BB6E7" w14:textId="77777777" w:rsidR="00E06F93" w:rsidRPr="009827C2" w:rsidRDefault="00E06F93" w:rsidP="002B7C5B">
            <w:pPr>
              <w:pStyle w:val="ListParagraph"/>
              <w:numPr>
                <w:ilvl w:val="0"/>
                <w:numId w:val="23"/>
              </w:numPr>
              <w:rPr>
                <w:rFonts w:eastAsiaTheme="majorEastAsia"/>
                <w:color w:val="000000" w:themeColor="text1"/>
              </w:rPr>
            </w:pPr>
            <w:r w:rsidRPr="009827C2">
              <w:rPr>
                <w:color w:val="000000" w:themeColor="text1"/>
              </w:rPr>
              <w:t>The governance cycle</w:t>
            </w:r>
          </w:p>
          <w:p w14:paraId="44C4A27F" w14:textId="77777777" w:rsidR="00E06F93" w:rsidRPr="009827C2" w:rsidRDefault="00E06F93" w:rsidP="002B7C5B">
            <w:pPr>
              <w:pStyle w:val="ListParagraph"/>
              <w:numPr>
                <w:ilvl w:val="0"/>
                <w:numId w:val="23"/>
              </w:numPr>
              <w:rPr>
                <w:rFonts w:eastAsiaTheme="majorEastAsia"/>
                <w:color w:val="000000" w:themeColor="text1"/>
              </w:rPr>
            </w:pPr>
            <w:r w:rsidRPr="009827C2">
              <w:rPr>
                <w:color w:val="000000" w:themeColor="text1"/>
              </w:rPr>
              <w:t xml:space="preserve">A summary of the business conducted, </w:t>
            </w:r>
          </w:p>
          <w:p w14:paraId="373EAD9C" w14:textId="6A48FB60" w:rsidR="00E06F93" w:rsidRPr="00CC0342" w:rsidRDefault="00E06F93" w:rsidP="00CC0342">
            <w:pPr>
              <w:pStyle w:val="ListParagraph"/>
              <w:numPr>
                <w:ilvl w:val="0"/>
                <w:numId w:val="23"/>
              </w:numPr>
              <w:rPr>
                <w:rFonts w:eastAsiaTheme="majorEastAsia"/>
                <w:color w:val="000000" w:themeColor="text1"/>
              </w:rPr>
            </w:pPr>
            <w:r w:rsidRPr="009827C2">
              <w:rPr>
                <w:color w:val="000000" w:themeColor="text1"/>
              </w:rPr>
              <w:t>Frequency of meetings, membership attendance, and quoracy</w:t>
            </w:r>
          </w:p>
        </w:tc>
      </w:tr>
    </w:tbl>
    <w:p w14:paraId="0D22A4D0" w14:textId="77777777" w:rsidR="00E06F93" w:rsidRPr="009827C2" w:rsidRDefault="00E06F93" w:rsidP="00E06F93">
      <w:pPr>
        <w:pStyle w:val="NormalWeb"/>
        <w:ind w:left="567"/>
        <w:rPr>
          <w:rFonts w:ascii="Arial" w:hAnsi="Arial" w:cs="Arial"/>
        </w:rPr>
      </w:pPr>
    </w:p>
    <w:p w14:paraId="05197FC8" w14:textId="77777777" w:rsidR="00E06F93" w:rsidRPr="009827C2" w:rsidRDefault="00E06F93" w:rsidP="00E06F93">
      <w:pPr>
        <w:pStyle w:val="Heading1"/>
        <w:keepNext w:val="0"/>
        <w:keepLines w:val="0"/>
        <w:widowControl w:val="0"/>
        <w:spacing w:before="0" w:after="120"/>
        <w:ind w:left="567" w:hanging="567"/>
        <w:rPr>
          <w:rFonts w:cs="Arial"/>
          <w:sz w:val="24"/>
          <w:szCs w:val="24"/>
        </w:rPr>
      </w:pPr>
      <w:bookmarkStart w:id="22" w:name="_Toc120720212"/>
      <w:bookmarkStart w:id="23" w:name="_Toc123192564"/>
      <w:bookmarkStart w:id="24" w:name="_Toc129940297"/>
      <w:r w:rsidRPr="009827C2">
        <w:rPr>
          <w:rFonts w:cs="Arial"/>
          <w:sz w:val="24"/>
          <w:szCs w:val="24"/>
        </w:rPr>
        <w:t>Committee meetings</w:t>
      </w:r>
      <w:bookmarkEnd w:id="22"/>
      <w:bookmarkEnd w:id="23"/>
      <w:bookmarkEnd w:id="24"/>
    </w:p>
    <w:p w14:paraId="3E47C252" w14:textId="77777777" w:rsidR="00E06F93" w:rsidRPr="009827C2" w:rsidRDefault="00E06F93" w:rsidP="00E06F93">
      <w:pPr>
        <w:pStyle w:val="Indentedparagraph"/>
        <w:rPr>
          <w:rFonts w:cs="Arial"/>
          <w:sz w:val="24"/>
          <w:szCs w:val="24"/>
        </w:rPr>
      </w:pPr>
      <w:r w:rsidRPr="009827C2">
        <w:rPr>
          <w:rFonts w:cs="Arial"/>
          <w:sz w:val="24"/>
          <w:szCs w:val="24"/>
        </w:rPr>
        <w:t>This section sets out meeting:</w:t>
      </w:r>
    </w:p>
    <w:p w14:paraId="61F69323" w14:textId="77777777" w:rsidR="00E06F93" w:rsidRPr="009827C2" w:rsidRDefault="00E06F93" w:rsidP="00E06F93">
      <w:pPr>
        <w:pStyle w:val="Bullet"/>
        <w:rPr>
          <w:rFonts w:cs="Arial"/>
          <w:sz w:val="24"/>
          <w:szCs w:val="24"/>
        </w:rPr>
      </w:pPr>
      <w:r w:rsidRPr="009827C2">
        <w:rPr>
          <w:rFonts w:cs="Arial"/>
          <w:sz w:val="24"/>
          <w:szCs w:val="24"/>
        </w:rPr>
        <w:t>Composition and quoracy</w:t>
      </w:r>
    </w:p>
    <w:p w14:paraId="4B778D44" w14:textId="77777777" w:rsidR="00E06F93" w:rsidRPr="009827C2" w:rsidRDefault="00E06F93" w:rsidP="00E06F93">
      <w:pPr>
        <w:pStyle w:val="Bullet"/>
        <w:rPr>
          <w:rFonts w:cs="Arial"/>
          <w:sz w:val="24"/>
          <w:szCs w:val="24"/>
        </w:rPr>
      </w:pPr>
      <w:r w:rsidRPr="009827C2">
        <w:rPr>
          <w:rFonts w:cs="Arial"/>
          <w:sz w:val="24"/>
          <w:szCs w:val="24"/>
        </w:rPr>
        <w:t xml:space="preserve">Frequency and formats </w:t>
      </w:r>
    </w:p>
    <w:p w14:paraId="44734497" w14:textId="77777777" w:rsidR="00E06F93" w:rsidRPr="009827C2" w:rsidRDefault="00E06F93" w:rsidP="00E06F93">
      <w:pPr>
        <w:pStyle w:val="Bullet"/>
        <w:rPr>
          <w:rFonts w:cs="Arial"/>
          <w:sz w:val="24"/>
          <w:szCs w:val="24"/>
        </w:rPr>
      </w:pPr>
      <w:r w:rsidRPr="009827C2">
        <w:rPr>
          <w:rFonts w:cs="Arial"/>
          <w:sz w:val="24"/>
          <w:szCs w:val="24"/>
        </w:rPr>
        <w:t>Procedures</w:t>
      </w:r>
    </w:p>
    <w:p w14:paraId="151B3B5C" w14:textId="77777777" w:rsidR="00E06F93" w:rsidRPr="009827C2" w:rsidRDefault="00E06F93" w:rsidP="00E06F93">
      <w:pPr>
        <w:pStyle w:val="Bullet"/>
        <w:numPr>
          <w:ilvl w:val="0"/>
          <w:numId w:val="0"/>
        </w:numPr>
        <w:ind w:left="851"/>
        <w:rPr>
          <w:rFonts w:cs="Arial"/>
          <w:sz w:val="24"/>
          <w:szCs w:val="24"/>
        </w:rPr>
      </w:pPr>
    </w:p>
    <w:p w14:paraId="50C0FE7B" w14:textId="77777777" w:rsidR="00E06F93" w:rsidRPr="009827C2" w:rsidRDefault="00E06F93" w:rsidP="00E06F93">
      <w:pPr>
        <w:pStyle w:val="Heading2"/>
        <w:keepNext w:val="0"/>
        <w:keepLines w:val="0"/>
        <w:widowControl w:val="0"/>
        <w:numPr>
          <w:ilvl w:val="1"/>
          <w:numId w:val="0"/>
        </w:numPr>
        <w:spacing w:before="240" w:after="120"/>
        <w:ind w:left="567" w:hanging="567"/>
        <w:rPr>
          <w:rFonts w:ascii="Arial" w:hAnsi="Arial" w:cs="Arial"/>
          <w:sz w:val="24"/>
          <w:szCs w:val="24"/>
        </w:rPr>
      </w:pPr>
      <w:bookmarkStart w:id="25" w:name="_Toc120720213"/>
      <w:bookmarkStart w:id="26" w:name="_Toc123192565"/>
      <w:bookmarkStart w:id="27" w:name="_Toc129940298"/>
      <w:r w:rsidRPr="009827C2">
        <w:rPr>
          <w:rFonts w:ascii="Arial" w:hAnsi="Arial" w:cs="Arial"/>
          <w:sz w:val="24"/>
          <w:szCs w:val="24"/>
        </w:rPr>
        <w:t>Composition and quoracy</w:t>
      </w:r>
      <w:bookmarkEnd w:id="25"/>
      <w:bookmarkEnd w:id="26"/>
      <w:bookmarkEnd w:id="27"/>
    </w:p>
    <w:p w14:paraId="16EF8828" w14:textId="77777777" w:rsidR="00E06F93" w:rsidRPr="009827C2" w:rsidRDefault="00E06F93" w:rsidP="00E06F93">
      <w:pPr>
        <w:pStyle w:val="Indentedparagraph"/>
        <w:rPr>
          <w:rFonts w:cs="Arial"/>
          <w:sz w:val="24"/>
          <w:szCs w:val="24"/>
        </w:rPr>
      </w:pPr>
      <w:r w:rsidRPr="009827C2">
        <w:rPr>
          <w:rFonts w:cs="Arial"/>
          <w:sz w:val="24"/>
          <w:szCs w:val="24"/>
        </w:rPr>
        <w:t>This section sets out the meeting composition and quoracy requirements.</w:t>
      </w:r>
    </w:p>
    <w:p w14:paraId="7E472757" w14:textId="77777777" w:rsidR="00E06F93" w:rsidRPr="009827C2" w:rsidRDefault="00E06F93" w:rsidP="00E06F93">
      <w:pPr>
        <w:pStyle w:val="Indentedparagraph"/>
        <w:rPr>
          <w:rFonts w:cs="Arial"/>
          <w:sz w:val="24"/>
          <w:szCs w:val="24"/>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9827C2" w14:paraId="2C9811BC" w14:textId="77777777" w:rsidTr="002B7C5B">
        <w:trPr>
          <w:tblHeader/>
        </w:trPr>
        <w:tc>
          <w:tcPr>
            <w:tcW w:w="1848" w:type="dxa"/>
            <w:shd w:val="clear" w:color="auto" w:fill="EEECE1" w:themeFill="background2"/>
            <w:vAlign w:val="center"/>
          </w:tcPr>
          <w:p w14:paraId="0ABD3962" w14:textId="77777777" w:rsidR="00E06F93" w:rsidRPr="009827C2" w:rsidRDefault="00E06F93" w:rsidP="002B7C5B">
            <w:pPr>
              <w:spacing w:before="120" w:after="120"/>
              <w:ind w:right="-246"/>
              <w:rPr>
                <w:b/>
                <w:bCs/>
                <w:color w:val="FFFFFF" w:themeColor="background1"/>
              </w:rPr>
            </w:pPr>
            <w:r w:rsidRPr="009827C2">
              <w:rPr>
                <w:b/>
                <w:bCs/>
                <w:color w:val="000000" w:themeColor="text1"/>
              </w:rPr>
              <w:t>Composition/ quoracy</w:t>
            </w:r>
          </w:p>
        </w:tc>
        <w:tc>
          <w:tcPr>
            <w:tcW w:w="7088" w:type="dxa"/>
            <w:shd w:val="clear" w:color="auto" w:fill="EEECE1" w:themeFill="background2"/>
            <w:vAlign w:val="center"/>
          </w:tcPr>
          <w:p w14:paraId="184F12FC" w14:textId="77777777" w:rsidR="00E06F93" w:rsidRPr="009827C2" w:rsidRDefault="00E06F93" w:rsidP="002B7C5B">
            <w:pPr>
              <w:spacing w:before="120" w:after="120"/>
              <w:ind w:left="315" w:right="-246" w:hanging="315"/>
              <w:rPr>
                <w:b/>
                <w:bCs/>
                <w:color w:val="FFFFFF" w:themeColor="background1"/>
              </w:rPr>
            </w:pPr>
            <w:r w:rsidRPr="009827C2">
              <w:rPr>
                <w:b/>
                <w:bCs/>
                <w:color w:val="000000" w:themeColor="text1"/>
              </w:rPr>
              <w:t>Description of expectations</w:t>
            </w:r>
          </w:p>
        </w:tc>
      </w:tr>
      <w:tr w:rsidR="00E06F93" w:rsidRPr="009827C2" w14:paraId="755DCDEE" w14:textId="77777777" w:rsidTr="002B7C5B">
        <w:tc>
          <w:tcPr>
            <w:tcW w:w="1848" w:type="dxa"/>
          </w:tcPr>
          <w:p w14:paraId="60ED1803" w14:textId="77777777" w:rsidR="00E06F93" w:rsidRPr="009827C2" w:rsidRDefault="00E06F93" w:rsidP="002B7C5B">
            <w:pPr>
              <w:spacing w:before="120" w:after="120"/>
              <w:rPr>
                <w:b/>
                <w:bCs/>
                <w:color w:val="000000" w:themeColor="text1"/>
              </w:rPr>
            </w:pPr>
            <w:r w:rsidRPr="009827C2">
              <w:rPr>
                <w:b/>
                <w:bCs/>
                <w:color w:val="000000" w:themeColor="text1"/>
              </w:rPr>
              <w:t>Chair</w:t>
            </w:r>
          </w:p>
        </w:tc>
        <w:tc>
          <w:tcPr>
            <w:tcW w:w="7088" w:type="dxa"/>
          </w:tcPr>
          <w:p w14:paraId="02BF0635" w14:textId="77777777" w:rsidR="00E06F93" w:rsidRPr="009827C2" w:rsidRDefault="00E06F93" w:rsidP="002B7C5B">
            <w:pPr>
              <w:spacing w:before="120" w:after="120"/>
              <w:rPr>
                <w:color w:val="000000" w:themeColor="text1"/>
              </w:rPr>
            </w:pPr>
            <w:r w:rsidRPr="009827C2">
              <w:rPr>
                <w:color w:val="000000" w:themeColor="text1"/>
              </w:rPr>
              <w:t>Appointed for their specific knowledge skills and experience and suitability. (Note: does not need to be a member of the ICB board)</w:t>
            </w:r>
          </w:p>
        </w:tc>
      </w:tr>
      <w:tr w:rsidR="00E06F93" w:rsidRPr="009827C2" w14:paraId="1226BC72" w14:textId="77777777" w:rsidTr="002B7C5B">
        <w:tc>
          <w:tcPr>
            <w:tcW w:w="1848" w:type="dxa"/>
          </w:tcPr>
          <w:p w14:paraId="2AB229E3" w14:textId="77777777" w:rsidR="00E06F93" w:rsidRPr="009827C2" w:rsidRDefault="00E06F93" w:rsidP="002B7C5B">
            <w:pPr>
              <w:spacing w:before="120" w:after="120"/>
              <w:rPr>
                <w:b/>
                <w:bCs/>
                <w:color w:val="000000" w:themeColor="text1"/>
              </w:rPr>
            </w:pPr>
            <w:r w:rsidRPr="009827C2">
              <w:rPr>
                <w:b/>
                <w:bCs/>
                <w:color w:val="000000" w:themeColor="text1"/>
              </w:rPr>
              <w:t>Deputy Chair</w:t>
            </w:r>
          </w:p>
        </w:tc>
        <w:tc>
          <w:tcPr>
            <w:tcW w:w="7088" w:type="dxa"/>
          </w:tcPr>
          <w:p w14:paraId="0FFDAEC7" w14:textId="1AAC064D" w:rsidR="00E06F93" w:rsidRPr="009827C2" w:rsidRDefault="00A836C1" w:rsidP="002B7C5B">
            <w:pPr>
              <w:spacing w:before="120" w:after="120"/>
              <w:rPr>
                <w:color w:val="000000" w:themeColor="text1"/>
              </w:rPr>
            </w:pPr>
            <w:r>
              <w:rPr>
                <w:color w:val="000000" w:themeColor="text1"/>
              </w:rPr>
              <w:t>Subcommittee</w:t>
            </w:r>
            <w:r w:rsidR="00E06F93" w:rsidRPr="009827C2">
              <w:rPr>
                <w:color w:val="000000" w:themeColor="text1"/>
              </w:rPr>
              <w:t xml:space="preserve"> members may appoint a vice chair from amongst the members.</w:t>
            </w:r>
          </w:p>
        </w:tc>
      </w:tr>
      <w:tr w:rsidR="00E06F93" w:rsidRPr="009827C2" w14:paraId="164D2F99" w14:textId="77777777" w:rsidTr="002B7C5B">
        <w:tc>
          <w:tcPr>
            <w:tcW w:w="1848" w:type="dxa"/>
          </w:tcPr>
          <w:p w14:paraId="73182512" w14:textId="77777777" w:rsidR="00E06F93" w:rsidRPr="009827C2" w:rsidRDefault="00E06F93" w:rsidP="002B7C5B">
            <w:pPr>
              <w:spacing w:before="120" w:after="120"/>
              <w:rPr>
                <w:b/>
                <w:bCs/>
                <w:color w:val="000000" w:themeColor="text1"/>
              </w:rPr>
            </w:pPr>
            <w:r w:rsidRPr="009827C2">
              <w:rPr>
                <w:b/>
                <w:bCs/>
                <w:color w:val="000000" w:themeColor="text1"/>
              </w:rPr>
              <w:t xml:space="preserve">Absence of Chair or </w:t>
            </w:r>
          </w:p>
          <w:p w14:paraId="00532492" w14:textId="77777777" w:rsidR="00E06F93" w:rsidRPr="009827C2" w:rsidRDefault="00E06F93" w:rsidP="002B7C5B">
            <w:pPr>
              <w:spacing w:before="120" w:after="120"/>
              <w:rPr>
                <w:b/>
                <w:bCs/>
                <w:color w:val="000000" w:themeColor="text1"/>
              </w:rPr>
            </w:pPr>
            <w:r w:rsidRPr="009827C2">
              <w:rPr>
                <w:b/>
                <w:bCs/>
                <w:color w:val="000000" w:themeColor="text1"/>
              </w:rPr>
              <w:t>Vice Chair</w:t>
            </w:r>
          </w:p>
        </w:tc>
        <w:tc>
          <w:tcPr>
            <w:tcW w:w="7088" w:type="dxa"/>
          </w:tcPr>
          <w:p w14:paraId="10AEA06D" w14:textId="77777777" w:rsidR="00E06F93" w:rsidRPr="009827C2" w:rsidRDefault="00E06F93" w:rsidP="002B7C5B">
            <w:pPr>
              <w:pStyle w:val="Tableparagraph0"/>
              <w:rPr>
                <w:b/>
                <w:bCs/>
                <w:sz w:val="24"/>
                <w:szCs w:val="24"/>
              </w:rPr>
            </w:pPr>
            <w:r w:rsidRPr="009827C2">
              <w:rPr>
                <w:sz w:val="24"/>
                <w:szCs w:val="24"/>
              </w:rPr>
              <w:t>In the absence of the chair, or vice chair, the remaining members present elects one of their number to Chair the meeting.</w:t>
            </w:r>
          </w:p>
        </w:tc>
      </w:tr>
      <w:tr w:rsidR="00E06F93" w:rsidRPr="009827C2" w14:paraId="000EAFB1" w14:textId="77777777" w:rsidTr="002B7C5B">
        <w:tc>
          <w:tcPr>
            <w:tcW w:w="1848" w:type="dxa"/>
          </w:tcPr>
          <w:p w14:paraId="2A27B2B1" w14:textId="77777777" w:rsidR="00E06F93" w:rsidRPr="009827C2" w:rsidRDefault="00E06F93" w:rsidP="002B7C5B">
            <w:pPr>
              <w:spacing w:before="120" w:after="120"/>
              <w:rPr>
                <w:b/>
                <w:bCs/>
                <w:color w:val="000000" w:themeColor="text1"/>
              </w:rPr>
            </w:pPr>
            <w:r w:rsidRPr="009827C2">
              <w:rPr>
                <w:b/>
                <w:bCs/>
                <w:color w:val="000000" w:themeColor="text1"/>
              </w:rPr>
              <w:t>Membership</w:t>
            </w:r>
          </w:p>
        </w:tc>
        <w:tc>
          <w:tcPr>
            <w:tcW w:w="7088" w:type="dxa"/>
          </w:tcPr>
          <w:p w14:paraId="1A7079F3" w14:textId="30244111" w:rsidR="00431B9F" w:rsidRPr="009827C2" w:rsidRDefault="00431B9F" w:rsidP="00431B9F">
            <w:pPr>
              <w:spacing w:before="120" w:after="120"/>
            </w:pPr>
            <w:r w:rsidRPr="009827C2">
              <w:t>The membership</w:t>
            </w:r>
            <w:r w:rsidR="00B408DB">
              <w:t xml:space="preserve"> (</w:t>
            </w:r>
            <w:r w:rsidR="00B408DB" w:rsidRPr="00A836C1">
              <w:rPr>
                <w:b/>
                <w:bCs/>
              </w:rPr>
              <w:t>voting members</w:t>
            </w:r>
            <w:r w:rsidR="00B408DB">
              <w:t>)</w:t>
            </w:r>
            <w:r w:rsidRPr="009827C2">
              <w:t xml:space="preserve"> will include the following or their deputies as agreed with the Chair:</w:t>
            </w:r>
          </w:p>
          <w:p w14:paraId="367FD2E4" w14:textId="22E35B79" w:rsidR="00A1121D" w:rsidRDefault="00A1121D" w:rsidP="00B408DB">
            <w:pPr>
              <w:pStyle w:val="ListParagraph"/>
              <w:numPr>
                <w:ilvl w:val="0"/>
                <w:numId w:val="37"/>
              </w:numPr>
              <w:rPr>
                <w:rFonts w:eastAsia="Calibri"/>
              </w:rPr>
            </w:pPr>
            <w:r>
              <w:rPr>
                <w:rFonts w:eastAsia="Calibri"/>
              </w:rPr>
              <w:t>Strategic Head of Pharmacy &amp; Optometry Contracting</w:t>
            </w:r>
            <w:r w:rsidRPr="009827C2">
              <w:rPr>
                <w:rFonts w:eastAsia="Calibri"/>
              </w:rPr>
              <w:t xml:space="preserve"> </w:t>
            </w:r>
            <w:r>
              <w:rPr>
                <w:rFonts w:eastAsia="Calibri"/>
              </w:rPr>
              <w:t>(Chair)</w:t>
            </w:r>
          </w:p>
          <w:p w14:paraId="3F0B5D68" w14:textId="0CE0765B" w:rsidR="00AC3F47" w:rsidRPr="009827C2" w:rsidRDefault="00901F33" w:rsidP="00B408DB">
            <w:pPr>
              <w:pStyle w:val="ListParagraph"/>
              <w:numPr>
                <w:ilvl w:val="0"/>
                <w:numId w:val="37"/>
              </w:numPr>
              <w:rPr>
                <w:rFonts w:eastAsia="Calibri"/>
              </w:rPr>
            </w:pPr>
            <w:r>
              <w:rPr>
                <w:rFonts w:eastAsia="Calibri"/>
              </w:rPr>
              <w:t>Director of Contracting &amp; Oversight</w:t>
            </w:r>
            <w:r w:rsidR="009E7A2B">
              <w:rPr>
                <w:rFonts w:eastAsia="Calibri"/>
              </w:rPr>
              <w:t>-</w:t>
            </w:r>
            <w:proofErr w:type="gramStart"/>
            <w:r w:rsidR="009E7A2B">
              <w:rPr>
                <w:rFonts w:eastAsia="Calibri"/>
              </w:rPr>
              <w:t>North</w:t>
            </w:r>
            <w:r w:rsidR="00AC3F47" w:rsidRPr="009827C2">
              <w:rPr>
                <w:rFonts w:eastAsia="Calibri"/>
              </w:rPr>
              <w:t xml:space="preserve"> </w:t>
            </w:r>
            <w:r w:rsidR="00A1121D">
              <w:rPr>
                <w:rFonts w:eastAsia="Calibri"/>
              </w:rPr>
              <w:t xml:space="preserve"> </w:t>
            </w:r>
            <w:r w:rsidR="00A1121D" w:rsidRPr="009827C2">
              <w:rPr>
                <w:rFonts w:eastAsia="Calibri"/>
              </w:rPr>
              <w:t>who</w:t>
            </w:r>
            <w:proofErr w:type="gramEnd"/>
            <w:r w:rsidR="00A1121D" w:rsidRPr="009827C2">
              <w:rPr>
                <w:rFonts w:eastAsia="Calibri"/>
              </w:rPr>
              <w:t xml:space="preserve"> will chair the meeting in the absence of the Chair (Vice-Chair)</w:t>
            </w:r>
          </w:p>
          <w:p w14:paraId="320B39F8" w14:textId="1ADFCAF8" w:rsidR="00AC3F47" w:rsidRDefault="00AC3F47" w:rsidP="00B408DB">
            <w:pPr>
              <w:pStyle w:val="ListParagraph"/>
              <w:numPr>
                <w:ilvl w:val="0"/>
                <w:numId w:val="37"/>
              </w:numPr>
              <w:rPr>
                <w:rFonts w:eastAsia="Calibri"/>
              </w:rPr>
            </w:pPr>
          </w:p>
          <w:p w14:paraId="0FF8F317" w14:textId="255781BB" w:rsidR="000B6B96" w:rsidRPr="009827C2" w:rsidRDefault="000B6B96" w:rsidP="00B408DB">
            <w:pPr>
              <w:pStyle w:val="ListParagraph"/>
              <w:numPr>
                <w:ilvl w:val="0"/>
                <w:numId w:val="37"/>
              </w:numPr>
              <w:rPr>
                <w:rFonts w:eastAsia="Calibri"/>
              </w:rPr>
            </w:pPr>
            <w:r>
              <w:rPr>
                <w:bCs/>
              </w:rPr>
              <w:t>Strategic Head of Medicines and Pharmacy</w:t>
            </w:r>
          </w:p>
          <w:p w14:paraId="73BBBB1A" w14:textId="76C86792" w:rsidR="00AC3F47" w:rsidRDefault="00AC3F47" w:rsidP="00B408DB">
            <w:pPr>
              <w:pStyle w:val="ListParagraph"/>
              <w:numPr>
                <w:ilvl w:val="0"/>
                <w:numId w:val="37"/>
              </w:numPr>
              <w:rPr>
                <w:rFonts w:eastAsia="Calibri"/>
              </w:rPr>
            </w:pPr>
          </w:p>
          <w:p w14:paraId="0405D6C0" w14:textId="327FDB81" w:rsidR="00AC3F47" w:rsidRPr="009827C2" w:rsidRDefault="00A1121D" w:rsidP="00B408DB">
            <w:pPr>
              <w:pStyle w:val="ListParagraph"/>
              <w:numPr>
                <w:ilvl w:val="0"/>
                <w:numId w:val="37"/>
              </w:numPr>
              <w:rPr>
                <w:rFonts w:eastAsia="Calibri"/>
              </w:rPr>
            </w:pPr>
            <w:r>
              <w:rPr>
                <w:rFonts w:eastAsia="Calibri"/>
              </w:rPr>
              <w:t xml:space="preserve">Primary Care Manager (8A </w:t>
            </w:r>
            <w:proofErr w:type="gramStart"/>
            <w:r>
              <w:rPr>
                <w:rFonts w:eastAsia="Calibri"/>
              </w:rPr>
              <w:t>role)</w:t>
            </w:r>
            <w:r w:rsidR="00332996">
              <w:rPr>
                <w:rFonts w:eastAsia="Calibri"/>
              </w:rPr>
              <w:t>One</w:t>
            </w:r>
            <w:proofErr w:type="gramEnd"/>
            <w:r w:rsidR="00AC3F47" w:rsidRPr="009827C2">
              <w:rPr>
                <w:rFonts w:eastAsia="Calibri"/>
              </w:rPr>
              <w:t xml:space="preserve"> PSRC Lay Member </w:t>
            </w:r>
          </w:p>
          <w:p w14:paraId="3D9AFFD1" w14:textId="77777777" w:rsidR="00431B9F" w:rsidRPr="009827C2" w:rsidRDefault="00431B9F" w:rsidP="00431B9F">
            <w:pPr>
              <w:rPr>
                <w:color w:val="000000" w:themeColor="text1"/>
              </w:rPr>
            </w:pPr>
          </w:p>
          <w:p w14:paraId="7E54C864" w14:textId="77777777" w:rsidR="00431B9F" w:rsidRPr="009827C2" w:rsidRDefault="00431B9F" w:rsidP="00431B9F">
            <w:pPr>
              <w:rPr>
                <w:color w:val="000000" w:themeColor="text1"/>
              </w:rPr>
            </w:pPr>
            <w:r w:rsidRPr="009827C2">
              <w:rPr>
                <w:color w:val="000000" w:themeColor="text1"/>
              </w:rPr>
              <w:t>Deputies as agreed by the Chair have the same voting rights as those that they are deputising for.</w:t>
            </w:r>
          </w:p>
          <w:p w14:paraId="289EF381" w14:textId="77777777" w:rsidR="00AC3F47" w:rsidRPr="009827C2" w:rsidRDefault="00AC3F47" w:rsidP="00431B9F">
            <w:pPr>
              <w:rPr>
                <w:color w:val="000000" w:themeColor="text1"/>
              </w:rPr>
            </w:pPr>
          </w:p>
          <w:p w14:paraId="0CB2A6EC" w14:textId="77777777" w:rsidR="00AC3F47" w:rsidRPr="009827C2" w:rsidRDefault="00AC3F47" w:rsidP="00AC3F47">
            <w:pPr>
              <w:ind w:left="567"/>
              <w:contextualSpacing/>
              <w:rPr>
                <w:rFonts w:eastAsia="Calibri"/>
              </w:rPr>
            </w:pPr>
            <w:r w:rsidRPr="009827C2">
              <w:rPr>
                <w:rFonts w:eastAsia="Calibri"/>
              </w:rPr>
              <w:t xml:space="preserve">All members of the PSRC must have a good knowledge and understanding of the Regulations to reduce the likelihood of a successful appeal against decisions made.  It is essential that members build up expertise in the Regulations and therefore consistency of attendance is expected. Subject to the provision of this paragraph deputies may be appointed. </w:t>
            </w:r>
          </w:p>
          <w:p w14:paraId="3CBA54F2" w14:textId="77777777" w:rsidR="00AC3F47" w:rsidRPr="009827C2" w:rsidRDefault="00AC3F47" w:rsidP="00AC3F47">
            <w:pPr>
              <w:contextualSpacing/>
              <w:rPr>
                <w:rFonts w:eastAsia="Calibri"/>
              </w:rPr>
            </w:pPr>
          </w:p>
          <w:p w14:paraId="53599E01" w14:textId="2C9D658D" w:rsidR="00AC3F47" w:rsidRPr="009827C2" w:rsidRDefault="00AC3F47" w:rsidP="00AC3F47">
            <w:pPr>
              <w:ind w:left="567"/>
              <w:contextualSpacing/>
              <w:rPr>
                <w:bCs/>
              </w:rPr>
            </w:pPr>
            <w:bookmarkStart w:id="28" w:name="_Hlk127188370"/>
            <w:r w:rsidRPr="009827C2">
              <w:rPr>
                <w:bCs/>
              </w:rPr>
              <w:t xml:space="preserve">The following persons will be co-opted to each PSRC but will </w:t>
            </w:r>
            <w:r w:rsidR="00B408DB">
              <w:rPr>
                <w:bCs/>
              </w:rPr>
              <w:t xml:space="preserve">be </w:t>
            </w:r>
            <w:r w:rsidR="00B408DB" w:rsidRPr="00A836C1">
              <w:rPr>
                <w:b/>
              </w:rPr>
              <w:t>non-</w:t>
            </w:r>
            <w:r w:rsidRPr="00A836C1">
              <w:rPr>
                <w:b/>
              </w:rPr>
              <w:t>voting</w:t>
            </w:r>
            <w:r w:rsidRPr="009827C2">
              <w:rPr>
                <w:bCs/>
              </w:rPr>
              <w:t xml:space="preserve"> members:</w:t>
            </w:r>
          </w:p>
          <w:p w14:paraId="300F8141" w14:textId="77777777" w:rsidR="00AC3F47" w:rsidRPr="009827C2" w:rsidRDefault="00AC3F47" w:rsidP="00AC3F47">
            <w:pPr>
              <w:ind w:left="567"/>
              <w:contextualSpacing/>
              <w:rPr>
                <w:bCs/>
              </w:rPr>
            </w:pPr>
          </w:p>
          <w:p w14:paraId="68805E87" w14:textId="77777777" w:rsidR="00B408DB" w:rsidRDefault="00B408DB" w:rsidP="00B408DB">
            <w:pPr>
              <w:pStyle w:val="ListParagraph"/>
              <w:numPr>
                <w:ilvl w:val="0"/>
                <w:numId w:val="37"/>
              </w:numPr>
              <w:rPr>
                <w:rFonts w:eastAsia="Calibri"/>
              </w:rPr>
            </w:pPr>
            <w:r>
              <w:rPr>
                <w:rFonts w:eastAsia="Calibri"/>
              </w:rPr>
              <w:t>ICB Clinical Advisor (Fitness to Practice)</w:t>
            </w:r>
          </w:p>
          <w:p w14:paraId="1FB7406E" w14:textId="77777777" w:rsidR="00B408DB" w:rsidRPr="009827C2" w:rsidRDefault="00B408DB" w:rsidP="00B408DB">
            <w:pPr>
              <w:pStyle w:val="ListParagraph"/>
              <w:numPr>
                <w:ilvl w:val="0"/>
                <w:numId w:val="37"/>
              </w:numPr>
              <w:rPr>
                <w:rFonts w:eastAsia="Calibri"/>
              </w:rPr>
            </w:pPr>
            <w:r>
              <w:rPr>
                <w:rFonts w:eastAsia="Calibri"/>
              </w:rPr>
              <w:t>NHS England Clinical Advisor (Market Entry applications)</w:t>
            </w:r>
          </w:p>
          <w:p w14:paraId="7F63555A" w14:textId="77777777" w:rsidR="00B408DB" w:rsidRDefault="00B408DB" w:rsidP="00A836C1">
            <w:pPr>
              <w:pStyle w:val="ListParagraph"/>
              <w:rPr>
                <w:bCs/>
              </w:rPr>
            </w:pPr>
          </w:p>
          <w:p w14:paraId="5DDE5BE0" w14:textId="163C4598" w:rsidR="00AC3F47" w:rsidRPr="009827C2" w:rsidRDefault="00332996" w:rsidP="00B408DB">
            <w:pPr>
              <w:pStyle w:val="ListParagraph"/>
              <w:numPr>
                <w:ilvl w:val="0"/>
                <w:numId w:val="37"/>
              </w:numPr>
              <w:rPr>
                <w:bCs/>
              </w:rPr>
            </w:pPr>
            <w:r>
              <w:rPr>
                <w:bCs/>
              </w:rPr>
              <w:t>Primary Care</w:t>
            </w:r>
            <w:r w:rsidR="00AC3F47" w:rsidRPr="009827C2">
              <w:rPr>
                <w:bCs/>
              </w:rPr>
              <w:t xml:space="preserve"> Manager</w:t>
            </w:r>
            <w:r w:rsidR="00B408DB">
              <w:rPr>
                <w:bCs/>
              </w:rPr>
              <w:t>(s)</w:t>
            </w:r>
            <w:r w:rsidR="00A02883">
              <w:rPr>
                <w:bCs/>
              </w:rPr>
              <w:t xml:space="preserve"> (Band 7 role)</w:t>
            </w:r>
            <w:r w:rsidR="00AC3F47" w:rsidRPr="009827C2">
              <w:rPr>
                <w:bCs/>
              </w:rPr>
              <w:t xml:space="preserve"> </w:t>
            </w:r>
          </w:p>
          <w:p w14:paraId="21CBF3D1" w14:textId="77777777" w:rsidR="00AC3F47" w:rsidRPr="009827C2" w:rsidRDefault="00AC3F47" w:rsidP="00AC3F47">
            <w:pPr>
              <w:pStyle w:val="ListParagraph"/>
              <w:ind w:left="567"/>
              <w:rPr>
                <w:bCs/>
              </w:rPr>
            </w:pPr>
          </w:p>
          <w:bookmarkEnd w:id="28"/>
          <w:p w14:paraId="28555F5C" w14:textId="77777777" w:rsidR="00AC3F47" w:rsidRPr="009827C2" w:rsidRDefault="00AC3F47" w:rsidP="00AC3F47">
            <w:pPr>
              <w:ind w:left="567"/>
              <w:contextualSpacing/>
              <w:rPr>
                <w:rFonts w:eastAsia="Calibri"/>
              </w:rPr>
            </w:pPr>
            <w:proofErr w:type="gramStart"/>
            <w:r w:rsidRPr="009827C2">
              <w:rPr>
                <w:rFonts w:eastAsia="Calibri"/>
              </w:rPr>
              <w:t>Persons</w:t>
            </w:r>
            <w:proofErr w:type="gramEnd"/>
            <w:r w:rsidRPr="009827C2">
              <w:rPr>
                <w:rFonts w:eastAsia="Calibri"/>
              </w:rPr>
              <w:t xml:space="preserve"> ineligible to be voting or co-opted members of a PSRC are listed in Regulation 62 and in paragraph 26(1) of Schedule 2 to the Regulations.  All voting and co-opted members must sign a declaration to confirm that they are not barred by virtue of this regulation or paragraph.  The Chair can require any co-opted member to leave the meeting before discussion of a matter and not return until the relevant decision has been made.  The minutes will record the absences of the relevant voting or co-opted member or members.</w:t>
            </w:r>
          </w:p>
          <w:p w14:paraId="6E381C5E" w14:textId="77777777" w:rsidR="00AC3F47" w:rsidRPr="009827C2" w:rsidRDefault="00AC3F47" w:rsidP="00AC3F47">
            <w:pPr>
              <w:ind w:left="567"/>
              <w:contextualSpacing/>
              <w:rPr>
                <w:rFonts w:eastAsia="Calibri"/>
              </w:rPr>
            </w:pPr>
          </w:p>
          <w:p w14:paraId="79A53B14" w14:textId="77777777" w:rsidR="00AC3F47" w:rsidRPr="009827C2" w:rsidRDefault="00AC3F47" w:rsidP="00AC3F47">
            <w:pPr>
              <w:ind w:left="567"/>
              <w:contextualSpacing/>
              <w:rPr>
                <w:rFonts w:eastAsia="Calibri"/>
                <w:b/>
                <w:bCs/>
              </w:rPr>
            </w:pPr>
            <w:r w:rsidRPr="009827C2">
              <w:rPr>
                <w:rFonts w:eastAsia="Calibri"/>
                <w:b/>
                <w:bCs/>
              </w:rPr>
              <w:t>Persons barred from taking part in decision-making on applications for inclusion in a pharmaceutical list or a dispensing doctor</w:t>
            </w:r>
          </w:p>
          <w:p w14:paraId="52D87510" w14:textId="77777777" w:rsidR="00AC3F47" w:rsidRPr="009827C2" w:rsidRDefault="00AC3F47" w:rsidP="00AC3F47">
            <w:pPr>
              <w:contextualSpacing/>
              <w:jc w:val="both"/>
              <w:rPr>
                <w:rFonts w:eastAsia="Calibri"/>
                <w:b/>
                <w:bCs/>
              </w:rPr>
            </w:pPr>
          </w:p>
          <w:p w14:paraId="550FB7F5" w14:textId="77777777" w:rsidR="00AC3F47" w:rsidRPr="009827C2" w:rsidRDefault="00AC3F47" w:rsidP="00B408DB">
            <w:pPr>
              <w:pStyle w:val="ListParagraph"/>
              <w:numPr>
                <w:ilvl w:val="0"/>
                <w:numId w:val="37"/>
              </w:numPr>
              <w:rPr>
                <w:rFonts w:eastAsia="Calibri"/>
              </w:rPr>
            </w:pPr>
            <w:r w:rsidRPr="009827C2">
              <w:rPr>
                <w:rFonts w:eastAsia="Calibri"/>
              </w:rPr>
              <w:t>A person who is included in a pharmaceutical list or is an employee of such a person</w:t>
            </w:r>
          </w:p>
          <w:p w14:paraId="57112757" w14:textId="77777777" w:rsidR="00AC3F47" w:rsidRPr="009827C2" w:rsidRDefault="00AC3F47" w:rsidP="00B408DB">
            <w:pPr>
              <w:pStyle w:val="ListParagraph"/>
              <w:numPr>
                <w:ilvl w:val="0"/>
                <w:numId w:val="37"/>
              </w:numPr>
              <w:rPr>
                <w:rFonts w:eastAsia="Calibri"/>
              </w:rPr>
            </w:pPr>
            <w:r w:rsidRPr="009827C2">
              <w:rPr>
                <w:rFonts w:eastAsia="Calibri"/>
              </w:rPr>
              <w:t>A person who assists in the provision of pharmaceutical services under Chapter 1 or Part 7 of the NHS Act 2006</w:t>
            </w:r>
          </w:p>
          <w:p w14:paraId="481F1FAE" w14:textId="77777777" w:rsidR="00AC3F47" w:rsidRPr="009827C2" w:rsidRDefault="00AC3F47" w:rsidP="00B408DB">
            <w:pPr>
              <w:pStyle w:val="ListParagraph"/>
              <w:numPr>
                <w:ilvl w:val="0"/>
                <w:numId w:val="37"/>
              </w:numPr>
              <w:rPr>
                <w:rFonts w:eastAsia="Calibri"/>
              </w:rPr>
            </w:pPr>
            <w:r w:rsidRPr="009827C2">
              <w:rPr>
                <w:rFonts w:eastAsia="Calibri"/>
              </w:rPr>
              <w:t>A person who is an LPS chemist, or a person who provides or assists in the provision of LPS</w:t>
            </w:r>
          </w:p>
          <w:p w14:paraId="6D0F1F57" w14:textId="77777777" w:rsidR="00AC3F47" w:rsidRPr="009827C2" w:rsidRDefault="00AC3F47" w:rsidP="00B408DB">
            <w:pPr>
              <w:pStyle w:val="ListParagraph"/>
              <w:numPr>
                <w:ilvl w:val="0"/>
                <w:numId w:val="37"/>
              </w:numPr>
              <w:rPr>
                <w:rFonts w:eastAsia="Calibri"/>
              </w:rPr>
            </w:pPr>
            <w:r w:rsidRPr="009827C2">
              <w:rPr>
                <w:rFonts w:eastAsia="Calibri"/>
              </w:rPr>
              <w:t>A person who is a provider of primary medical services</w:t>
            </w:r>
          </w:p>
          <w:p w14:paraId="7832313B" w14:textId="77777777" w:rsidR="00AC3F47" w:rsidRPr="009827C2" w:rsidRDefault="00AC3F47" w:rsidP="00B408DB">
            <w:pPr>
              <w:pStyle w:val="ListParagraph"/>
              <w:numPr>
                <w:ilvl w:val="0"/>
                <w:numId w:val="37"/>
              </w:numPr>
              <w:rPr>
                <w:rFonts w:eastAsia="Calibri"/>
              </w:rPr>
            </w:pPr>
            <w:r w:rsidRPr="009827C2">
              <w:rPr>
                <w:rFonts w:eastAsia="Calibri"/>
              </w:rPr>
              <w:t xml:space="preserve">A person who is a member of a provider or primary medical service that is a partnership, or a shareholder in </w:t>
            </w:r>
            <w:r w:rsidRPr="009827C2">
              <w:rPr>
                <w:rFonts w:eastAsia="Calibri"/>
              </w:rPr>
              <w:lastRenderedPageBreak/>
              <w:t>a provider of primary medical services that is a company limited by shares</w:t>
            </w:r>
          </w:p>
          <w:p w14:paraId="3897A28A" w14:textId="77777777" w:rsidR="00AC3F47" w:rsidRPr="009827C2" w:rsidRDefault="00AC3F47" w:rsidP="00B408DB">
            <w:pPr>
              <w:pStyle w:val="ListParagraph"/>
              <w:numPr>
                <w:ilvl w:val="0"/>
                <w:numId w:val="37"/>
              </w:numPr>
              <w:rPr>
                <w:rFonts w:eastAsia="Calibri"/>
              </w:rPr>
            </w:pPr>
            <w:r w:rsidRPr="009827C2">
              <w:rPr>
                <w:rFonts w:eastAsia="Calibri"/>
              </w:rPr>
              <w:t>A person who is employed or engaged by a primary medical services provider</w:t>
            </w:r>
          </w:p>
          <w:p w14:paraId="2C435696" w14:textId="77777777" w:rsidR="00AC3F47" w:rsidRPr="009827C2" w:rsidRDefault="00AC3F47" w:rsidP="00B408DB">
            <w:pPr>
              <w:pStyle w:val="ListParagraph"/>
              <w:numPr>
                <w:ilvl w:val="0"/>
                <w:numId w:val="37"/>
              </w:numPr>
              <w:rPr>
                <w:rFonts w:eastAsia="Calibri"/>
              </w:rPr>
            </w:pPr>
            <w:r w:rsidRPr="009827C2">
              <w:rPr>
                <w:rFonts w:eastAsia="Calibri"/>
              </w:rPr>
              <w:t>A person who is employed or engaged by an alternative provider medical services contractor in any capacity relating to the provision of primary medical services</w:t>
            </w:r>
          </w:p>
          <w:p w14:paraId="2E5D72CA" w14:textId="77777777" w:rsidR="00AC3F47" w:rsidRPr="009827C2" w:rsidRDefault="00AC3F47" w:rsidP="00AC3F47">
            <w:pPr>
              <w:contextualSpacing/>
              <w:jc w:val="both"/>
              <w:rPr>
                <w:rFonts w:eastAsia="Calibri"/>
              </w:rPr>
            </w:pPr>
          </w:p>
          <w:p w14:paraId="52096EFF" w14:textId="77777777" w:rsidR="00AC3F47" w:rsidRPr="009827C2" w:rsidRDefault="00AC3F47" w:rsidP="00AC3F47">
            <w:pPr>
              <w:ind w:left="567"/>
              <w:contextualSpacing/>
              <w:rPr>
                <w:rFonts w:eastAsia="Calibri"/>
              </w:rPr>
            </w:pPr>
            <w:r w:rsidRPr="009827C2">
              <w:rPr>
                <w:rFonts w:eastAsia="Calibri"/>
              </w:rPr>
              <w:t>No Member may take part in a decision if, in the opinion of the remaining voting members, the circumstances set out in paragraph 26(2) of Schedule 2 to the Regulations apply (reasonable suspicion of bias).</w:t>
            </w:r>
          </w:p>
          <w:p w14:paraId="4EF40EA4" w14:textId="77777777" w:rsidR="00AC3F47" w:rsidRPr="009827C2" w:rsidRDefault="00AC3F47" w:rsidP="00AC3F47">
            <w:pPr>
              <w:contextualSpacing/>
              <w:rPr>
                <w:rFonts w:eastAsia="Calibri"/>
              </w:rPr>
            </w:pPr>
          </w:p>
          <w:p w14:paraId="47B52E01" w14:textId="77777777" w:rsidR="00AC3F47" w:rsidRPr="009827C2" w:rsidRDefault="00AC3F47" w:rsidP="00431B9F">
            <w:pPr>
              <w:rPr>
                <w:color w:val="000000" w:themeColor="text1"/>
              </w:rPr>
            </w:pPr>
          </w:p>
          <w:p w14:paraId="1598B1DF" w14:textId="77777777" w:rsidR="00431B9F" w:rsidRPr="009827C2" w:rsidRDefault="00431B9F" w:rsidP="00431B9F">
            <w:pPr>
              <w:spacing w:before="120" w:after="120"/>
              <w:rPr>
                <w:color w:val="000000" w:themeColor="text1"/>
              </w:rPr>
            </w:pPr>
            <w:r w:rsidRPr="009827C2">
              <w:rPr>
                <w:b/>
                <w:bCs/>
                <w:color w:val="000000" w:themeColor="text1"/>
              </w:rPr>
              <w:t>EDI:</w:t>
            </w:r>
            <w:r w:rsidRPr="009827C2">
              <w:rPr>
                <w:color w:val="000000" w:themeColor="text1"/>
              </w:rPr>
              <w:t xml:space="preserve"> When determining the membership of the group, consideration will be given to diversity and equality.  </w:t>
            </w:r>
          </w:p>
          <w:p w14:paraId="1DEC7023" w14:textId="77777777" w:rsidR="00431B9F" w:rsidRPr="009827C2" w:rsidRDefault="00431B9F" w:rsidP="00431B9F">
            <w:pPr>
              <w:spacing w:before="120" w:after="120"/>
              <w:rPr>
                <w:b/>
                <w:bCs/>
                <w:color w:val="000000" w:themeColor="text1"/>
              </w:rPr>
            </w:pPr>
            <w:r w:rsidRPr="009827C2">
              <w:rPr>
                <w:b/>
                <w:bCs/>
                <w:color w:val="000000" w:themeColor="text1"/>
              </w:rPr>
              <w:t xml:space="preserve">Involvement: </w:t>
            </w:r>
            <w:r w:rsidRPr="009827C2">
              <w:rPr>
                <w:color w:val="000000" w:themeColor="text1"/>
              </w:rPr>
              <w:t>In determining membership consideration will be given to the need for a patient and public involvement member.</w:t>
            </w:r>
            <w:r w:rsidRPr="009827C2">
              <w:rPr>
                <w:b/>
                <w:bCs/>
                <w:color w:val="000000" w:themeColor="text1"/>
              </w:rPr>
              <w:t xml:space="preserve"> </w:t>
            </w:r>
          </w:p>
          <w:p w14:paraId="1296A411" w14:textId="77777777" w:rsidR="00431B9F" w:rsidRPr="009827C2" w:rsidRDefault="00431B9F" w:rsidP="00431B9F">
            <w:pPr>
              <w:spacing w:before="120" w:after="120"/>
              <w:rPr>
                <w:color w:val="000000" w:themeColor="text1"/>
              </w:rPr>
            </w:pPr>
            <w:r w:rsidRPr="009827C2">
              <w:rPr>
                <w:b/>
                <w:bCs/>
                <w:color w:val="000000" w:themeColor="text1"/>
              </w:rPr>
              <w:t>ICS:</w:t>
            </w:r>
            <w:r w:rsidRPr="009827C2">
              <w:rPr>
                <w:color w:val="000000" w:themeColor="text1"/>
              </w:rPr>
              <w:t xml:space="preserve"> Membership may be from across the Integrated Care System. However, the balance of membership must sit with the ICB.</w:t>
            </w:r>
          </w:p>
          <w:p w14:paraId="343D2970" w14:textId="3820E03E" w:rsidR="00431B9F" w:rsidRPr="009827C2" w:rsidRDefault="00431B9F" w:rsidP="00431B9F">
            <w:pPr>
              <w:spacing w:before="120" w:after="120"/>
              <w:rPr>
                <w:color w:val="000000" w:themeColor="text1"/>
              </w:rPr>
            </w:pPr>
            <w:r w:rsidRPr="009827C2">
              <w:rPr>
                <w:b/>
                <w:bCs/>
                <w:color w:val="000000" w:themeColor="text1"/>
              </w:rPr>
              <w:t>Conflicts</w:t>
            </w:r>
            <w:r w:rsidRPr="009827C2">
              <w:rPr>
                <w:color w:val="000000" w:themeColor="text1"/>
              </w:rPr>
              <w:t>: Consideration must be given to material conflicts in the appointment of members.</w:t>
            </w:r>
          </w:p>
          <w:p w14:paraId="1BD61C77" w14:textId="4429C941" w:rsidR="00E06F93" w:rsidRPr="009827C2" w:rsidRDefault="00E06F93" w:rsidP="002B7C5B">
            <w:pPr>
              <w:spacing w:before="120" w:after="120"/>
              <w:rPr>
                <w:color w:val="000000" w:themeColor="text1"/>
              </w:rPr>
            </w:pPr>
            <w:r w:rsidRPr="009827C2">
              <w:rPr>
                <w:color w:val="000000" w:themeColor="text1"/>
              </w:rPr>
              <w:t xml:space="preserve"> </w:t>
            </w:r>
          </w:p>
        </w:tc>
      </w:tr>
      <w:tr w:rsidR="00E06F93" w:rsidRPr="009827C2" w14:paraId="4DA7B690" w14:textId="77777777" w:rsidTr="002B7C5B">
        <w:tc>
          <w:tcPr>
            <w:tcW w:w="1848" w:type="dxa"/>
          </w:tcPr>
          <w:p w14:paraId="4E76BE17" w14:textId="77777777" w:rsidR="00E06F93" w:rsidRPr="009827C2" w:rsidRDefault="00E06F93" w:rsidP="002B7C5B">
            <w:pPr>
              <w:spacing w:before="120" w:after="120"/>
              <w:rPr>
                <w:b/>
                <w:bCs/>
                <w:color w:val="000000" w:themeColor="text1"/>
              </w:rPr>
            </w:pPr>
            <w:r w:rsidRPr="009827C2">
              <w:rPr>
                <w:b/>
                <w:bCs/>
                <w:color w:val="000000" w:themeColor="text1"/>
              </w:rPr>
              <w:lastRenderedPageBreak/>
              <w:t>Attendees and procedure for absence</w:t>
            </w:r>
          </w:p>
        </w:tc>
        <w:tc>
          <w:tcPr>
            <w:tcW w:w="7088" w:type="dxa"/>
          </w:tcPr>
          <w:p w14:paraId="3C675951" w14:textId="77777777" w:rsidR="00E06F93" w:rsidRPr="009827C2" w:rsidRDefault="00E06F93" w:rsidP="002B7C5B">
            <w:pPr>
              <w:pStyle w:val="Tableparagraph0"/>
              <w:rPr>
                <w:sz w:val="24"/>
                <w:szCs w:val="24"/>
              </w:rPr>
            </w:pPr>
            <w:r w:rsidRPr="009827C2">
              <w:rPr>
                <w:sz w:val="24"/>
                <w:szCs w:val="24"/>
              </w:rPr>
              <w:t xml:space="preserve">Only members have the right to attend meetings. </w:t>
            </w:r>
          </w:p>
          <w:p w14:paraId="63DA3B2F" w14:textId="77777777" w:rsidR="00E06F93" w:rsidRPr="009827C2" w:rsidRDefault="00E06F93" w:rsidP="002B7C5B">
            <w:pPr>
              <w:pStyle w:val="Tablepara"/>
              <w:rPr>
                <w:sz w:val="24"/>
                <w:szCs w:val="24"/>
              </w:rPr>
            </w:pPr>
            <w:r w:rsidRPr="009827C2">
              <w:rPr>
                <w:sz w:val="24"/>
                <w:szCs w:val="24"/>
              </w:rPr>
              <w:t>Other attendees: The chair may elect to co-opt additional attendees, where it is in the interests of the activities to do so.</w:t>
            </w:r>
          </w:p>
          <w:p w14:paraId="461D7435" w14:textId="77777777" w:rsidR="00E06F93" w:rsidRPr="009827C2" w:rsidRDefault="00E06F93" w:rsidP="002B7C5B">
            <w:pPr>
              <w:spacing w:before="120" w:after="120"/>
              <w:rPr>
                <w:b/>
                <w:bCs/>
                <w:color w:val="000000" w:themeColor="text1"/>
              </w:rPr>
            </w:pPr>
            <w:r w:rsidRPr="009827C2">
              <w:rPr>
                <w:b/>
                <w:bCs/>
                <w:color w:val="000000" w:themeColor="text1"/>
              </w:rPr>
              <w:t>Procedure for absence:</w:t>
            </w:r>
            <w:r w:rsidRPr="009827C2">
              <w:rPr>
                <w:rFonts w:eastAsia="Times New Roman"/>
                <w:b/>
                <w:bCs/>
                <w:color w:val="000000" w:themeColor="text1"/>
              </w:rPr>
              <w:t xml:space="preserve"> </w:t>
            </w:r>
          </w:p>
          <w:p w14:paraId="72FFF1F0" w14:textId="76E0934D" w:rsidR="00E06F93" w:rsidRPr="009827C2" w:rsidRDefault="00E06F93" w:rsidP="002B7C5B">
            <w:pPr>
              <w:spacing w:before="120" w:after="120"/>
              <w:rPr>
                <w:color w:val="000000" w:themeColor="text1"/>
              </w:rPr>
            </w:pPr>
            <w:r w:rsidRPr="009827C2">
              <w:rPr>
                <w:color w:val="000000" w:themeColor="text1"/>
              </w:rPr>
              <w:t xml:space="preserve">Where a member or any regular attendee of the </w:t>
            </w:r>
            <w:r w:rsidR="00A836C1">
              <w:rPr>
                <w:color w:val="000000" w:themeColor="text1"/>
              </w:rPr>
              <w:t>Subcommittee</w:t>
            </w:r>
            <w:r w:rsidRPr="009827C2">
              <w:rPr>
                <w:color w:val="000000" w:themeColor="text1"/>
              </w:rPr>
              <w:t xml:space="preserve"> is unable to attend a meeting, a </w:t>
            </w:r>
            <w:r w:rsidR="00AC3F47" w:rsidRPr="009827C2">
              <w:rPr>
                <w:color w:val="000000" w:themeColor="text1"/>
              </w:rPr>
              <w:t>nominated</w:t>
            </w:r>
            <w:r w:rsidR="00656B7B" w:rsidRPr="009827C2">
              <w:rPr>
                <w:color w:val="000000" w:themeColor="text1"/>
              </w:rPr>
              <w:t xml:space="preserve"> </w:t>
            </w:r>
            <w:r w:rsidRPr="009827C2">
              <w:rPr>
                <w:color w:val="000000" w:themeColor="text1"/>
              </w:rPr>
              <w:t xml:space="preserve">alternative may be agreed with the chair. </w:t>
            </w:r>
          </w:p>
          <w:p w14:paraId="5FF17879" w14:textId="77777777" w:rsidR="00E06F93" w:rsidRPr="009827C2" w:rsidRDefault="00E06F93" w:rsidP="002B7C5B">
            <w:pPr>
              <w:spacing w:before="120" w:after="120"/>
              <w:rPr>
                <w:color w:val="000000" w:themeColor="text1"/>
              </w:rPr>
            </w:pPr>
            <w:r w:rsidRPr="009827C2">
              <w:rPr>
                <w:color w:val="000000" w:themeColor="text1"/>
              </w:rPr>
              <w:t xml:space="preserve">The chair may ask any or all of those who normally attend to withdraw to facilitate open and frank discussion of </w:t>
            </w:r>
            <w:proofErr w:type="gramStart"/>
            <w:r w:rsidRPr="009827C2">
              <w:rPr>
                <w:color w:val="000000" w:themeColor="text1"/>
              </w:rPr>
              <w:t>particular matters</w:t>
            </w:r>
            <w:proofErr w:type="gramEnd"/>
            <w:r w:rsidRPr="009827C2">
              <w:rPr>
                <w:color w:val="000000" w:themeColor="text1"/>
              </w:rPr>
              <w:t>.</w:t>
            </w:r>
          </w:p>
        </w:tc>
      </w:tr>
      <w:tr w:rsidR="00E06F93" w:rsidRPr="009827C2" w14:paraId="57DE7EFC" w14:textId="77777777" w:rsidTr="002B7C5B">
        <w:tc>
          <w:tcPr>
            <w:tcW w:w="1848" w:type="dxa"/>
          </w:tcPr>
          <w:p w14:paraId="36138EC6" w14:textId="77777777" w:rsidR="00E06F93" w:rsidRPr="009827C2" w:rsidRDefault="00E06F93" w:rsidP="002B7C5B">
            <w:pPr>
              <w:spacing w:before="120" w:after="120"/>
              <w:rPr>
                <w:b/>
                <w:bCs/>
                <w:color w:val="000000" w:themeColor="text1"/>
              </w:rPr>
            </w:pPr>
            <w:r w:rsidRPr="009827C2">
              <w:rPr>
                <w:b/>
                <w:bCs/>
                <w:color w:val="000000" w:themeColor="text1"/>
              </w:rPr>
              <w:t xml:space="preserve">Quoracy and Procedure for </w:t>
            </w:r>
            <w:proofErr w:type="spellStart"/>
            <w:r w:rsidRPr="009827C2">
              <w:rPr>
                <w:b/>
                <w:bCs/>
                <w:color w:val="000000" w:themeColor="text1"/>
              </w:rPr>
              <w:t>Inquoracy</w:t>
            </w:r>
            <w:proofErr w:type="spellEnd"/>
          </w:p>
        </w:tc>
        <w:tc>
          <w:tcPr>
            <w:tcW w:w="7088" w:type="dxa"/>
          </w:tcPr>
          <w:p w14:paraId="71E192F5" w14:textId="77777777" w:rsidR="00AC3F47" w:rsidRPr="009827C2" w:rsidRDefault="00E06F93" w:rsidP="00AC3F47">
            <w:pPr>
              <w:contextualSpacing/>
              <w:rPr>
                <w:color w:val="000000" w:themeColor="text1"/>
              </w:rPr>
            </w:pPr>
            <w:r w:rsidRPr="009827C2">
              <w:rPr>
                <w:b/>
                <w:color w:val="000000" w:themeColor="text1"/>
              </w:rPr>
              <w:t>Threshold:</w:t>
            </w:r>
            <w:r w:rsidRPr="009827C2">
              <w:rPr>
                <w:color w:val="000000" w:themeColor="text1"/>
              </w:rPr>
              <w:t xml:space="preserve"> </w:t>
            </w:r>
          </w:p>
          <w:p w14:paraId="3B905E51" w14:textId="77777777" w:rsidR="00AC3F47" w:rsidRPr="009827C2" w:rsidRDefault="00AC3F47" w:rsidP="00AC3F47">
            <w:pPr>
              <w:ind w:left="567"/>
              <w:contextualSpacing/>
              <w:rPr>
                <w:color w:val="000000" w:themeColor="text1"/>
              </w:rPr>
            </w:pPr>
          </w:p>
          <w:p w14:paraId="62BF9313" w14:textId="14D5A97D" w:rsidR="005967CB" w:rsidRDefault="00AC3F47" w:rsidP="00AC3F47">
            <w:pPr>
              <w:contextualSpacing/>
            </w:pPr>
            <w:r w:rsidRPr="009827C2">
              <w:t xml:space="preserve">No business shall be transacted at a meeting unless at least </w:t>
            </w:r>
            <w:r w:rsidR="00B408DB">
              <w:t>three</w:t>
            </w:r>
            <w:r w:rsidR="00B408DB" w:rsidRPr="009827C2">
              <w:t xml:space="preserve"> </w:t>
            </w:r>
            <w:r w:rsidRPr="009827C2">
              <w:t xml:space="preserve">of the voting members are present </w:t>
            </w:r>
            <w:r w:rsidR="00B408DB">
              <w:t>two</w:t>
            </w:r>
            <w:r w:rsidR="00B408DB" w:rsidRPr="009827C2">
              <w:t xml:space="preserve"> </w:t>
            </w:r>
            <w:r w:rsidRPr="009827C2">
              <w:t xml:space="preserve">of which must </w:t>
            </w:r>
          </w:p>
          <w:p w14:paraId="4D013F2E" w14:textId="49A82C97" w:rsidR="00AC3F47" w:rsidRPr="009827C2" w:rsidRDefault="00AC3F47" w:rsidP="00AC3F47">
            <w:pPr>
              <w:contextualSpacing/>
            </w:pPr>
            <w:r w:rsidRPr="009827C2">
              <w:t>officer</w:t>
            </w:r>
            <w:r w:rsidR="00F901B8">
              <w:t>s</w:t>
            </w:r>
            <w:r w:rsidRPr="009827C2">
              <w:t xml:space="preserve"> from the ICB.</w:t>
            </w:r>
          </w:p>
          <w:p w14:paraId="43E1ACF0" w14:textId="77777777" w:rsidR="00AC3F47" w:rsidRPr="009827C2" w:rsidRDefault="00AC3F47" w:rsidP="00AC3F47">
            <w:pPr>
              <w:ind w:left="567"/>
              <w:contextualSpacing/>
            </w:pPr>
          </w:p>
          <w:p w14:paraId="43B45C3D" w14:textId="6A0517EB" w:rsidR="00AC3F47" w:rsidRPr="009827C2" w:rsidRDefault="00AC3F47" w:rsidP="00AC3F47">
            <w:pPr>
              <w:contextualSpacing/>
            </w:pPr>
            <w:proofErr w:type="gramStart"/>
            <w:r w:rsidRPr="009827C2">
              <w:t>In the event that</w:t>
            </w:r>
            <w:proofErr w:type="gramEnd"/>
            <w:r w:rsidRPr="009827C2">
              <w:t xml:space="preserve"> a meeting of the PSRC is not quorate, the Chair can decide that the meeting will progress, but where </w:t>
            </w:r>
            <w:r w:rsidR="00B408DB">
              <w:t xml:space="preserve">urgent </w:t>
            </w:r>
            <w:r w:rsidR="00B408DB">
              <w:lastRenderedPageBreak/>
              <w:t xml:space="preserve">regulatory </w:t>
            </w:r>
            <w:r w:rsidRPr="009827C2">
              <w:t xml:space="preserve">decisions are required, they </w:t>
            </w:r>
            <w:r w:rsidR="00B408DB">
              <w:t>can be made virtually</w:t>
            </w:r>
            <w:r w:rsidR="007D32A2">
              <w:t>, logged and noted at the next meeting</w:t>
            </w:r>
            <w:r w:rsidR="00B408DB">
              <w:t xml:space="preserve">.  All other items </w:t>
            </w:r>
            <w:r w:rsidRPr="009827C2">
              <w:t>will be deferred to the next meeting when the PSRC is quorate.</w:t>
            </w:r>
          </w:p>
          <w:p w14:paraId="215FDCAC" w14:textId="79435CF5" w:rsidR="00E06F93" w:rsidRPr="009827C2" w:rsidRDefault="00E06F93" w:rsidP="002B7C5B">
            <w:pPr>
              <w:spacing w:before="120" w:after="120"/>
              <w:rPr>
                <w:color w:val="000000" w:themeColor="text1"/>
              </w:rPr>
            </w:pPr>
            <w:r w:rsidRPr="009827C2">
              <w:rPr>
                <w:b/>
                <w:bCs/>
                <w:color w:val="000000" w:themeColor="text1"/>
              </w:rPr>
              <w:t>Absence:</w:t>
            </w:r>
            <w:r w:rsidRPr="009827C2">
              <w:rPr>
                <w:color w:val="000000" w:themeColor="text1"/>
              </w:rPr>
              <w:t xml:space="preserve"> Where members are unable to attend, they should agree this with the chair.</w:t>
            </w:r>
          </w:p>
          <w:p w14:paraId="75A16775" w14:textId="657F9219" w:rsidR="00E06F93" w:rsidRPr="009827C2" w:rsidRDefault="00E06F93" w:rsidP="002B7C5B">
            <w:pPr>
              <w:spacing w:before="120" w:after="120"/>
              <w:ind w:firstLine="32"/>
              <w:rPr>
                <w:b/>
                <w:bCs/>
                <w:color w:val="000000" w:themeColor="text1"/>
              </w:rPr>
            </w:pPr>
            <w:r w:rsidRPr="009827C2">
              <w:rPr>
                <w:b/>
                <w:bCs/>
                <w:color w:val="000000" w:themeColor="text1"/>
              </w:rPr>
              <w:t xml:space="preserve">Disqualification: </w:t>
            </w:r>
            <w:r w:rsidRPr="009827C2">
              <w:rPr>
                <w:color w:val="000000" w:themeColor="text1"/>
              </w:rPr>
              <w:t xml:space="preserve">If any member of the </w:t>
            </w:r>
            <w:r w:rsidR="00A836C1">
              <w:rPr>
                <w:color w:val="000000" w:themeColor="text1"/>
              </w:rPr>
              <w:t>Subcommittee</w:t>
            </w:r>
            <w:r w:rsidRPr="009827C2">
              <w:rPr>
                <w:color w:val="000000" w:themeColor="text1"/>
              </w:rPr>
              <w:t xml:space="preserve"> is disqualified from participating in an item on the agenda, due to a declared conflict of interest, that individual no longer counts towards the quorum.</w:t>
            </w:r>
            <w:r w:rsidRPr="009827C2">
              <w:rPr>
                <w:b/>
                <w:bCs/>
                <w:color w:val="000000" w:themeColor="text1"/>
              </w:rPr>
              <w:t xml:space="preserve"> </w:t>
            </w:r>
          </w:p>
          <w:p w14:paraId="4C0ADD74" w14:textId="77777777" w:rsidR="00E06F93" w:rsidRPr="009827C2" w:rsidRDefault="00E06F93" w:rsidP="002B7C5B">
            <w:pPr>
              <w:spacing w:before="120" w:after="120"/>
            </w:pPr>
            <w:proofErr w:type="spellStart"/>
            <w:r w:rsidRPr="009827C2">
              <w:rPr>
                <w:b/>
                <w:bCs/>
                <w:color w:val="000000" w:themeColor="text1"/>
              </w:rPr>
              <w:t>Inquoracy</w:t>
            </w:r>
            <w:proofErr w:type="spellEnd"/>
            <w:r w:rsidRPr="009827C2">
              <w:rPr>
                <w:b/>
                <w:bCs/>
                <w:color w:val="000000" w:themeColor="text1"/>
              </w:rPr>
              <w:t xml:space="preserve">: </w:t>
            </w:r>
            <w:r w:rsidRPr="009827C2">
              <w:rPr>
                <w:color w:val="000000" w:themeColor="text1"/>
              </w:rPr>
              <w:t>If the quorum is not reached, the meeting may proceed if those members attending agree, but no decisions may be taken.</w:t>
            </w:r>
            <w:r w:rsidRPr="009827C2">
              <w:t xml:space="preserve"> </w:t>
            </w:r>
          </w:p>
        </w:tc>
      </w:tr>
    </w:tbl>
    <w:p w14:paraId="0DBA6D34" w14:textId="77777777" w:rsidR="00E06F93" w:rsidRPr="009827C2" w:rsidRDefault="00E06F93" w:rsidP="00E06F93">
      <w:pPr>
        <w:pStyle w:val="Indentedparagraph"/>
        <w:rPr>
          <w:rFonts w:cs="Arial"/>
          <w:sz w:val="24"/>
          <w:szCs w:val="24"/>
        </w:rPr>
      </w:pPr>
    </w:p>
    <w:p w14:paraId="43FC2DB2" w14:textId="77777777" w:rsidR="00E06F93" w:rsidRPr="009827C2" w:rsidRDefault="00E06F93" w:rsidP="00E06F93">
      <w:pPr>
        <w:pStyle w:val="Heading2"/>
        <w:keepNext w:val="0"/>
        <w:keepLines w:val="0"/>
        <w:widowControl w:val="0"/>
        <w:numPr>
          <w:ilvl w:val="1"/>
          <w:numId w:val="0"/>
        </w:numPr>
        <w:spacing w:before="240" w:after="120"/>
        <w:ind w:left="567" w:hanging="567"/>
        <w:rPr>
          <w:rFonts w:ascii="Arial" w:hAnsi="Arial" w:cs="Arial"/>
          <w:sz w:val="24"/>
          <w:szCs w:val="24"/>
        </w:rPr>
      </w:pPr>
      <w:bookmarkStart w:id="29" w:name="_Toc120720214"/>
      <w:bookmarkStart w:id="30" w:name="_Toc123192566"/>
      <w:bookmarkStart w:id="31" w:name="_Toc129940299"/>
      <w:r w:rsidRPr="009827C2">
        <w:rPr>
          <w:rFonts w:ascii="Arial" w:hAnsi="Arial" w:cs="Arial"/>
          <w:sz w:val="24"/>
          <w:szCs w:val="24"/>
        </w:rPr>
        <w:t>Frequency and formats</w:t>
      </w:r>
      <w:bookmarkEnd w:id="29"/>
      <w:bookmarkEnd w:id="30"/>
      <w:bookmarkEnd w:id="31"/>
    </w:p>
    <w:p w14:paraId="3C71DC48" w14:textId="3798086E" w:rsidR="00E06F93" w:rsidRPr="009827C2" w:rsidRDefault="00E06F93" w:rsidP="00E06F93">
      <w:pPr>
        <w:pStyle w:val="Indentedparagraph"/>
        <w:rPr>
          <w:rFonts w:cs="Arial"/>
          <w:sz w:val="24"/>
          <w:szCs w:val="24"/>
        </w:rPr>
      </w:pPr>
      <w:r w:rsidRPr="009827C2">
        <w:rPr>
          <w:rFonts w:cs="Arial"/>
          <w:sz w:val="24"/>
          <w:szCs w:val="24"/>
        </w:rPr>
        <w:t xml:space="preserve">This section on </w:t>
      </w:r>
      <w:r w:rsidR="00A836C1">
        <w:rPr>
          <w:rFonts w:cs="Arial"/>
          <w:sz w:val="24"/>
          <w:szCs w:val="24"/>
        </w:rPr>
        <w:t>Subcommittee</w:t>
      </w:r>
      <w:r w:rsidRPr="009827C2">
        <w:rPr>
          <w:rFonts w:cs="Arial"/>
          <w:sz w:val="24"/>
          <w:szCs w:val="24"/>
        </w:rPr>
        <w:t xml:space="preserve"> meetings describes the meeting frequency and formats.</w:t>
      </w:r>
    </w:p>
    <w:p w14:paraId="771C8F18" w14:textId="77777777" w:rsidR="00E06F93" w:rsidRPr="009827C2" w:rsidRDefault="00E06F93" w:rsidP="00E06F93">
      <w:pPr>
        <w:rPr>
          <w:b/>
          <w:bCs/>
        </w:rPr>
      </w:pPr>
    </w:p>
    <w:p w14:paraId="1DAA7CDD" w14:textId="77777777" w:rsidR="00E06F93" w:rsidRPr="009827C2" w:rsidRDefault="00E06F93" w:rsidP="00E06F93">
      <w:pPr>
        <w:rPr>
          <w:b/>
          <w:bCs/>
        </w:rPr>
      </w:pPr>
      <w:r w:rsidRPr="009827C2">
        <w:rPr>
          <w:b/>
          <w:bCs/>
        </w:rPr>
        <w:tab/>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79"/>
        <w:gridCol w:w="11"/>
        <w:gridCol w:w="6946"/>
      </w:tblGrid>
      <w:tr w:rsidR="00E06F93" w:rsidRPr="009827C2" w14:paraId="50F8323C" w14:textId="77777777" w:rsidTr="00D97F8B">
        <w:trPr>
          <w:tblHeader/>
        </w:trPr>
        <w:tc>
          <w:tcPr>
            <w:tcW w:w="1979" w:type="dxa"/>
            <w:shd w:val="clear" w:color="auto" w:fill="EEECE1" w:themeFill="background2"/>
            <w:vAlign w:val="center"/>
          </w:tcPr>
          <w:p w14:paraId="3084E88D" w14:textId="77777777" w:rsidR="00E06F93" w:rsidRPr="009827C2" w:rsidRDefault="00E06F93" w:rsidP="002B7C5B">
            <w:pPr>
              <w:spacing w:before="120" w:after="120"/>
              <w:rPr>
                <w:b/>
                <w:bCs/>
                <w:color w:val="FFFFFF" w:themeColor="background1"/>
              </w:rPr>
            </w:pPr>
            <w:r w:rsidRPr="009827C2">
              <w:rPr>
                <w:b/>
                <w:bCs/>
                <w:color w:val="000000" w:themeColor="text1"/>
              </w:rPr>
              <w:t>Frequency/ format</w:t>
            </w:r>
          </w:p>
        </w:tc>
        <w:tc>
          <w:tcPr>
            <w:tcW w:w="6957" w:type="dxa"/>
            <w:gridSpan w:val="2"/>
            <w:shd w:val="clear" w:color="auto" w:fill="EEECE1" w:themeFill="background2"/>
            <w:vAlign w:val="center"/>
          </w:tcPr>
          <w:p w14:paraId="75DA40E3" w14:textId="77777777" w:rsidR="00E06F93" w:rsidRPr="009827C2" w:rsidRDefault="00E06F93" w:rsidP="002B7C5B">
            <w:pPr>
              <w:spacing w:before="120" w:after="120"/>
              <w:rPr>
                <w:b/>
                <w:bCs/>
                <w:color w:val="FFFFFF" w:themeColor="background1"/>
              </w:rPr>
            </w:pPr>
            <w:r w:rsidRPr="009827C2">
              <w:rPr>
                <w:b/>
                <w:bCs/>
                <w:color w:val="000000" w:themeColor="text1"/>
              </w:rPr>
              <w:t xml:space="preserve">Description </w:t>
            </w:r>
          </w:p>
        </w:tc>
      </w:tr>
      <w:tr w:rsidR="00E06F93" w:rsidRPr="009827C2" w14:paraId="3137A7B3" w14:textId="77777777" w:rsidTr="00D97F8B">
        <w:tc>
          <w:tcPr>
            <w:tcW w:w="1990" w:type="dxa"/>
            <w:gridSpan w:val="2"/>
          </w:tcPr>
          <w:p w14:paraId="5CAC05AE" w14:textId="77777777" w:rsidR="00E06F93" w:rsidRPr="009827C2" w:rsidRDefault="00E06F93" w:rsidP="002B7C5B">
            <w:pPr>
              <w:spacing w:before="120" w:after="120"/>
              <w:rPr>
                <w:b/>
                <w:bCs/>
                <w:color w:val="000000" w:themeColor="text1"/>
              </w:rPr>
            </w:pPr>
            <w:r w:rsidRPr="009827C2">
              <w:rPr>
                <w:b/>
                <w:bCs/>
                <w:color w:val="000000" w:themeColor="text1"/>
              </w:rPr>
              <w:t>Meeting frequency</w:t>
            </w:r>
          </w:p>
        </w:tc>
        <w:tc>
          <w:tcPr>
            <w:tcW w:w="6946" w:type="dxa"/>
          </w:tcPr>
          <w:p w14:paraId="4E62D4E7" w14:textId="2964ADEB" w:rsidR="00E06F93" w:rsidRPr="009827C2" w:rsidRDefault="00E06F93" w:rsidP="002B7C5B">
            <w:pPr>
              <w:spacing w:before="120"/>
              <w:rPr>
                <w:color w:val="000000" w:themeColor="text1"/>
              </w:rPr>
            </w:pPr>
            <w:r w:rsidRPr="009827C2">
              <w:rPr>
                <w:color w:val="000000" w:themeColor="text1"/>
              </w:rPr>
              <w:t xml:space="preserve">The </w:t>
            </w:r>
            <w:r w:rsidR="00A836C1">
              <w:rPr>
                <w:color w:val="000000" w:themeColor="text1"/>
              </w:rPr>
              <w:t>Subcommittee</w:t>
            </w:r>
            <w:r w:rsidRPr="009827C2">
              <w:rPr>
                <w:color w:val="000000" w:themeColor="text1"/>
              </w:rPr>
              <w:t xml:space="preserve"> will meet </w:t>
            </w:r>
            <w:r w:rsidR="002B7254" w:rsidRPr="009827C2">
              <w:rPr>
                <w:color w:val="000000" w:themeColor="text1"/>
              </w:rPr>
              <w:t>monthly.</w:t>
            </w:r>
          </w:p>
          <w:p w14:paraId="408E82F3" w14:textId="0060BEA3" w:rsidR="00E06F93" w:rsidRPr="009827C2" w:rsidRDefault="00E06F93" w:rsidP="002B7C5B">
            <w:pPr>
              <w:pStyle w:val="Tableparagraph0"/>
              <w:rPr>
                <w:sz w:val="24"/>
                <w:szCs w:val="24"/>
              </w:rPr>
            </w:pPr>
            <w:r w:rsidRPr="009827C2">
              <w:rPr>
                <w:sz w:val="24"/>
                <w:szCs w:val="24"/>
              </w:rPr>
              <w:t xml:space="preserve">Additional meetings may be convened on an exceptional basis at the discretion of the </w:t>
            </w:r>
            <w:r w:rsidR="00A836C1">
              <w:rPr>
                <w:sz w:val="24"/>
                <w:szCs w:val="24"/>
              </w:rPr>
              <w:t>Subcommittee</w:t>
            </w:r>
            <w:r w:rsidRPr="009827C2">
              <w:rPr>
                <w:sz w:val="24"/>
                <w:szCs w:val="24"/>
              </w:rPr>
              <w:t xml:space="preserve"> chair.</w:t>
            </w:r>
          </w:p>
          <w:p w14:paraId="364286BC" w14:textId="3229DE70" w:rsidR="00E06F93" w:rsidRPr="009827C2" w:rsidRDefault="00E06F93" w:rsidP="002B7C5B">
            <w:pPr>
              <w:pStyle w:val="Tableparagraph0"/>
              <w:rPr>
                <w:sz w:val="24"/>
                <w:szCs w:val="24"/>
              </w:rPr>
            </w:pPr>
            <w:r w:rsidRPr="009827C2">
              <w:rPr>
                <w:sz w:val="24"/>
                <w:szCs w:val="24"/>
              </w:rPr>
              <w:t xml:space="preserve">The parent committee chair may ask the </w:t>
            </w:r>
            <w:r w:rsidR="00A836C1">
              <w:rPr>
                <w:sz w:val="24"/>
                <w:szCs w:val="24"/>
              </w:rPr>
              <w:t>Subcommittee</w:t>
            </w:r>
            <w:r w:rsidRPr="009827C2">
              <w:rPr>
                <w:sz w:val="24"/>
                <w:szCs w:val="24"/>
              </w:rPr>
              <w:t xml:space="preserve"> to convene further meetings to discuss </w:t>
            </w:r>
            <w:proofErr w:type="gramStart"/>
            <w:r w:rsidRPr="009827C2">
              <w:rPr>
                <w:sz w:val="24"/>
                <w:szCs w:val="24"/>
              </w:rPr>
              <w:t>particular issues</w:t>
            </w:r>
            <w:proofErr w:type="gramEnd"/>
            <w:r w:rsidRPr="009827C2">
              <w:rPr>
                <w:sz w:val="24"/>
                <w:szCs w:val="24"/>
              </w:rPr>
              <w:t xml:space="preserve"> on which they want the </w:t>
            </w:r>
            <w:r w:rsidR="00A836C1">
              <w:rPr>
                <w:sz w:val="24"/>
                <w:szCs w:val="24"/>
              </w:rPr>
              <w:t>Subcommittee</w:t>
            </w:r>
            <w:r w:rsidRPr="009827C2">
              <w:rPr>
                <w:sz w:val="24"/>
                <w:szCs w:val="24"/>
              </w:rPr>
              <w:t xml:space="preserve">’s advice. </w:t>
            </w:r>
          </w:p>
        </w:tc>
      </w:tr>
      <w:tr w:rsidR="00650E47" w:rsidRPr="009827C2" w14:paraId="2A83FA63" w14:textId="77777777" w:rsidTr="00D97F8B">
        <w:tc>
          <w:tcPr>
            <w:tcW w:w="1990" w:type="dxa"/>
            <w:gridSpan w:val="2"/>
          </w:tcPr>
          <w:p w14:paraId="71ED4127" w14:textId="77777777" w:rsidR="00650E47" w:rsidRPr="009827C2" w:rsidRDefault="00650E47" w:rsidP="00D81CC4">
            <w:pPr>
              <w:spacing w:before="120" w:after="120"/>
              <w:rPr>
                <w:b/>
                <w:bCs/>
                <w:color w:val="000000" w:themeColor="text1"/>
              </w:rPr>
            </w:pPr>
            <w:r w:rsidRPr="009827C2">
              <w:rPr>
                <w:b/>
                <w:bCs/>
                <w:color w:val="000000" w:themeColor="text1"/>
              </w:rPr>
              <w:t>Public vs closed</w:t>
            </w:r>
          </w:p>
        </w:tc>
        <w:tc>
          <w:tcPr>
            <w:tcW w:w="6946" w:type="dxa"/>
          </w:tcPr>
          <w:p w14:paraId="5637A70E" w14:textId="77777777" w:rsidR="00650E47" w:rsidRPr="009827C2" w:rsidRDefault="00650E47" w:rsidP="00D81CC4">
            <w:pPr>
              <w:rPr>
                <w:rFonts w:eastAsia="Times New Roman"/>
              </w:rPr>
            </w:pPr>
          </w:p>
          <w:p w14:paraId="30109B74" w14:textId="7E7CA2B0" w:rsidR="00650E47" w:rsidRPr="009827C2" w:rsidRDefault="00650E47" w:rsidP="00D81CC4">
            <w:pPr>
              <w:rPr>
                <w:rFonts w:eastAsia="Times New Roman"/>
              </w:rPr>
            </w:pPr>
            <w:r w:rsidRPr="009827C2">
              <w:rPr>
                <w:rFonts w:eastAsia="Times New Roman"/>
              </w:rPr>
              <w:t>Meetings will be held in private.</w:t>
            </w:r>
          </w:p>
          <w:p w14:paraId="0828830A" w14:textId="77777777" w:rsidR="00650E47" w:rsidRPr="009827C2" w:rsidRDefault="00650E47" w:rsidP="00D81CC4">
            <w:pPr>
              <w:rPr>
                <w:rFonts w:eastAsia="Times New Roman"/>
              </w:rPr>
            </w:pPr>
          </w:p>
          <w:p w14:paraId="68373F4A" w14:textId="456BFA9B" w:rsidR="00650E47" w:rsidRPr="009827C2" w:rsidRDefault="00650E47" w:rsidP="00D81CC4">
            <w:pPr>
              <w:spacing w:before="120" w:after="120"/>
              <w:rPr>
                <w:color w:val="000000" w:themeColor="text1"/>
              </w:rPr>
            </w:pPr>
            <w:r w:rsidRPr="009827C2">
              <w:rPr>
                <w:color w:val="000000" w:themeColor="text1"/>
              </w:rPr>
              <w:t xml:space="preserve">External Audit, Internal Audit and Local Counter Fraud representatives will have full and unrestricted rights of access to the </w:t>
            </w:r>
            <w:r w:rsidR="00A836C1">
              <w:rPr>
                <w:color w:val="000000" w:themeColor="text1"/>
              </w:rPr>
              <w:t>Subcommittee</w:t>
            </w:r>
            <w:r w:rsidRPr="009827C2">
              <w:rPr>
                <w:color w:val="000000" w:themeColor="text1"/>
              </w:rPr>
              <w:t>.</w:t>
            </w:r>
          </w:p>
        </w:tc>
      </w:tr>
      <w:tr w:rsidR="00E06F93" w:rsidRPr="009827C2" w14:paraId="146EA00B" w14:textId="77777777" w:rsidTr="00D97F8B">
        <w:tc>
          <w:tcPr>
            <w:tcW w:w="1990" w:type="dxa"/>
            <w:gridSpan w:val="2"/>
          </w:tcPr>
          <w:p w14:paraId="36B20AF0" w14:textId="77777777" w:rsidR="00E06F93" w:rsidRPr="009827C2" w:rsidRDefault="00E06F93" w:rsidP="002B7C5B">
            <w:pPr>
              <w:spacing w:before="120" w:after="120"/>
              <w:rPr>
                <w:b/>
                <w:bCs/>
                <w:color w:val="000000" w:themeColor="text1"/>
              </w:rPr>
            </w:pPr>
            <w:r w:rsidRPr="009827C2">
              <w:rPr>
                <w:b/>
                <w:bCs/>
                <w:color w:val="000000" w:themeColor="text1"/>
              </w:rPr>
              <w:t>Virtual meetings and extra-ordinary meetings</w:t>
            </w:r>
          </w:p>
        </w:tc>
        <w:tc>
          <w:tcPr>
            <w:tcW w:w="6946" w:type="dxa"/>
          </w:tcPr>
          <w:p w14:paraId="675A7606" w14:textId="142852D4" w:rsidR="00E06F93" w:rsidRPr="009827C2" w:rsidRDefault="00E06F93" w:rsidP="002B7C5B">
            <w:pPr>
              <w:spacing w:before="120" w:after="120"/>
              <w:rPr>
                <w:color w:val="000000" w:themeColor="text1"/>
              </w:rPr>
            </w:pPr>
            <w:r w:rsidRPr="009827C2">
              <w:rPr>
                <w:color w:val="000000" w:themeColor="text1"/>
              </w:rPr>
              <w:t xml:space="preserve">In accordance with the Standing Orders, the </w:t>
            </w:r>
            <w:r w:rsidR="00A836C1">
              <w:rPr>
                <w:color w:val="000000" w:themeColor="text1"/>
              </w:rPr>
              <w:t>Subcommittee</w:t>
            </w:r>
            <w:r w:rsidRPr="009827C2">
              <w:rPr>
                <w:color w:val="000000" w:themeColor="text1"/>
              </w:rPr>
              <w:t xml:space="preserve"> may meet virtually when necessary and members attending using electronic means will be counted towards the quorum.</w:t>
            </w:r>
          </w:p>
        </w:tc>
      </w:tr>
    </w:tbl>
    <w:p w14:paraId="72FE93FE" w14:textId="77777777" w:rsidR="00E06F93" w:rsidRPr="009827C2" w:rsidRDefault="00E06F93" w:rsidP="00E06F93">
      <w:pPr>
        <w:rPr>
          <w:b/>
          <w:bCs/>
        </w:rPr>
      </w:pPr>
    </w:p>
    <w:p w14:paraId="2B807AD9" w14:textId="77777777" w:rsidR="00E06F93" w:rsidRPr="009827C2" w:rsidRDefault="00E06F93" w:rsidP="00E06F93">
      <w:pPr>
        <w:pStyle w:val="Heading2"/>
        <w:keepNext w:val="0"/>
        <w:keepLines w:val="0"/>
        <w:widowControl w:val="0"/>
        <w:numPr>
          <w:ilvl w:val="1"/>
          <w:numId w:val="0"/>
        </w:numPr>
        <w:spacing w:before="240" w:after="120"/>
        <w:ind w:left="567" w:hanging="567"/>
        <w:rPr>
          <w:rFonts w:ascii="Arial" w:hAnsi="Arial" w:cs="Arial"/>
          <w:sz w:val="24"/>
          <w:szCs w:val="24"/>
        </w:rPr>
      </w:pPr>
      <w:bookmarkStart w:id="32" w:name="_Toc120720215"/>
      <w:bookmarkStart w:id="33" w:name="_Toc123192567"/>
      <w:bookmarkStart w:id="34" w:name="_Toc129940300"/>
      <w:r w:rsidRPr="009827C2">
        <w:rPr>
          <w:rFonts w:ascii="Arial" w:hAnsi="Arial" w:cs="Arial"/>
          <w:sz w:val="24"/>
          <w:szCs w:val="24"/>
        </w:rPr>
        <w:t>Procedures</w:t>
      </w:r>
      <w:bookmarkEnd w:id="32"/>
      <w:bookmarkEnd w:id="33"/>
      <w:bookmarkEnd w:id="34"/>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9827C2" w14:paraId="52FEFA42" w14:textId="77777777" w:rsidTr="00D97F8B">
        <w:tc>
          <w:tcPr>
            <w:tcW w:w="1848" w:type="dxa"/>
            <w:shd w:val="clear" w:color="auto" w:fill="EEECE1" w:themeFill="background2"/>
            <w:vAlign w:val="center"/>
          </w:tcPr>
          <w:p w14:paraId="7AF5AF2B" w14:textId="77777777" w:rsidR="00E06F93" w:rsidRPr="009827C2" w:rsidRDefault="00E06F93" w:rsidP="002B7C5B">
            <w:pPr>
              <w:spacing w:before="120" w:after="120"/>
              <w:rPr>
                <w:b/>
                <w:bCs/>
                <w:color w:val="000000" w:themeColor="text1"/>
              </w:rPr>
            </w:pPr>
            <w:r w:rsidRPr="009827C2">
              <w:rPr>
                <w:b/>
                <w:bCs/>
                <w:color w:val="000000" w:themeColor="text1"/>
              </w:rPr>
              <w:lastRenderedPageBreak/>
              <w:t>Procedure</w:t>
            </w:r>
          </w:p>
        </w:tc>
        <w:tc>
          <w:tcPr>
            <w:tcW w:w="7088" w:type="dxa"/>
            <w:shd w:val="clear" w:color="auto" w:fill="EEECE1" w:themeFill="background2"/>
            <w:vAlign w:val="center"/>
          </w:tcPr>
          <w:p w14:paraId="3E4E0ABE" w14:textId="77777777" w:rsidR="00E06F93" w:rsidRPr="009827C2" w:rsidRDefault="00E06F93" w:rsidP="002B7C5B">
            <w:pPr>
              <w:spacing w:before="120" w:after="120"/>
              <w:rPr>
                <w:b/>
                <w:bCs/>
                <w:color w:val="000000" w:themeColor="text1"/>
              </w:rPr>
            </w:pPr>
            <w:r w:rsidRPr="009827C2">
              <w:rPr>
                <w:b/>
                <w:bCs/>
                <w:color w:val="000000" w:themeColor="text1"/>
              </w:rPr>
              <w:t xml:space="preserve">Description of rules and expectations: </w:t>
            </w:r>
          </w:p>
        </w:tc>
      </w:tr>
      <w:tr w:rsidR="00E06F93" w:rsidRPr="009827C2" w14:paraId="165BB4B2" w14:textId="77777777" w:rsidTr="00D97F8B">
        <w:tc>
          <w:tcPr>
            <w:tcW w:w="1848" w:type="dxa"/>
          </w:tcPr>
          <w:p w14:paraId="1AD38AA6" w14:textId="77777777" w:rsidR="00E06F93" w:rsidRPr="009827C2" w:rsidRDefault="00E06F93" w:rsidP="002B7C5B">
            <w:pPr>
              <w:spacing w:before="120" w:after="120"/>
              <w:rPr>
                <w:b/>
                <w:bCs/>
                <w:color w:val="000000" w:themeColor="text1"/>
              </w:rPr>
            </w:pPr>
            <w:r w:rsidRPr="009827C2">
              <w:rPr>
                <w:b/>
                <w:bCs/>
                <w:color w:val="000000" w:themeColor="text1"/>
              </w:rPr>
              <w:t>Agenda</w:t>
            </w:r>
          </w:p>
        </w:tc>
        <w:tc>
          <w:tcPr>
            <w:tcW w:w="7088" w:type="dxa"/>
          </w:tcPr>
          <w:p w14:paraId="32F7CC9D" w14:textId="77777777" w:rsidR="002B7254" w:rsidRPr="009827C2" w:rsidRDefault="002B7254" w:rsidP="002B7254">
            <w:pPr>
              <w:autoSpaceDE w:val="0"/>
              <w:autoSpaceDN w:val="0"/>
              <w:adjustRightInd w:val="0"/>
              <w:contextualSpacing/>
            </w:pPr>
            <w:r w:rsidRPr="009827C2">
              <w:t xml:space="preserve">The Chair will be responsible for agreeing the agenda and ensuring matters discussed meet the objectives as set out in these </w:t>
            </w:r>
            <w:proofErr w:type="spellStart"/>
            <w:r w:rsidRPr="009827C2">
              <w:t>ToRs</w:t>
            </w:r>
            <w:proofErr w:type="spellEnd"/>
            <w:r w:rsidRPr="009827C2">
              <w:t xml:space="preserve"> and in line with the general principles for decision making outlined in the Pharmacy Manual (Version 2, 10 February 2023).</w:t>
            </w:r>
          </w:p>
          <w:p w14:paraId="40123A84" w14:textId="77777777" w:rsidR="00E06F93" w:rsidRPr="009827C2" w:rsidRDefault="00E06F93" w:rsidP="002B7C5B">
            <w:pPr>
              <w:spacing w:before="120" w:after="120"/>
              <w:rPr>
                <w:b/>
                <w:color w:val="000000" w:themeColor="text1"/>
              </w:rPr>
            </w:pPr>
            <w:r w:rsidRPr="009827C2">
              <w:rPr>
                <w:color w:val="000000" w:themeColor="text1"/>
              </w:rPr>
              <w:t>Members are expected to identify agenda items for consideration to the chair and any meeting papers using the prescribed format at least 5 working days before the meeting.</w:t>
            </w:r>
          </w:p>
        </w:tc>
      </w:tr>
      <w:tr w:rsidR="00E06F93" w:rsidRPr="009827C2" w14:paraId="7CF2DCDA" w14:textId="77777777" w:rsidTr="00D97F8B">
        <w:tc>
          <w:tcPr>
            <w:tcW w:w="1848" w:type="dxa"/>
          </w:tcPr>
          <w:p w14:paraId="572FC2DD" w14:textId="77777777" w:rsidR="00E06F93" w:rsidRPr="009827C2" w:rsidRDefault="00E06F93" w:rsidP="002B7C5B">
            <w:pPr>
              <w:spacing w:before="120" w:after="120"/>
              <w:rPr>
                <w:b/>
                <w:bCs/>
              </w:rPr>
            </w:pPr>
            <w:r w:rsidRPr="009827C2">
              <w:rPr>
                <w:b/>
                <w:bCs/>
              </w:rPr>
              <w:t>Conflicts of interest</w:t>
            </w:r>
          </w:p>
        </w:tc>
        <w:tc>
          <w:tcPr>
            <w:tcW w:w="7088" w:type="dxa"/>
          </w:tcPr>
          <w:p w14:paraId="5E538CF2" w14:textId="6E871168" w:rsidR="00E06F93" w:rsidRPr="009827C2" w:rsidRDefault="00E06F93" w:rsidP="002B7C5B">
            <w:r w:rsidRPr="009827C2">
              <w:rPr>
                <w:b/>
              </w:rPr>
              <w:t>Declarations:</w:t>
            </w:r>
            <w:r w:rsidRPr="009827C2">
              <w:t xml:space="preserve"> All members</w:t>
            </w:r>
            <w:r w:rsidR="00650E47" w:rsidRPr="009827C2">
              <w:t xml:space="preserve"> </w:t>
            </w:r>
            <w:r w:rsidRPr="009827C2">
              <w:t>and those in attendance must declare any actual, potential, or perceived conflicts of interest. This is recorded in the minutes.</w:t>
            </w:r>
          </w:p>
          <w:p w14:paraId="46531900" w14:textId="5D54AA66" w:rsidR="00E06F93" w:rsidRPr="009827C2" w:rsidRDefault="00E06F93" w:rsidP="002B7C5B">
            <w:pPr>
              <w:spacing w:before="120" w:after="120"/>
            </w:pPr>
            <w:r w:rsidRPr="009827C2">
              <w:rPr>
                <w:b/>
              </w:rPr>
              <w:t>Exclusions:</w:t>
            </w:r>
            <w:r w:rsidRPr="009827C2">
              <w:t xml:space="preserve"> The </w:t>
            </w:r>
            <w:r w:rsidR="00A836C1">
              <w:t>Subcommittee</w:t>
            </w:r>
            <w:r w:rsidRPr="009827C2">
              <w:t xml:space="preserve"> will follow and apply the ICB’s Standards of Business Conduct with regards to the management of conflicts of interest. This means that the chair will consider the exclusion of members and / or attendees from discussion and / or decision-making if individuals have a relevant material or perceived interest in a matter under consideration.</w:t>
            </w:r>
          </w:p>
        </w:tc>
      </w:tr>
      <w:tr w:rsidR="00E06F93" w:rsidRPr="009827C2" w14:paraId="69336CE0" w14:textId="77777777" w:rsidTr="00D97F8B">
        <w:tc>
          <w:tcPr>
            <w:tcW w:w="1848" w:type="dxa"/>
          </w:tcPr>
          <w:p w14:paraId="0C0F9ED2" w14:textId="77777777" w:rsidR="00E06F93" w:rsidRPr="009827C2" w:rsidRDefault="00E06F93" w:rsidP="002B7C5B">
            <w:pPr>
              <w:spacing w:before="120" w:after="120"/>
              <w:rPr>
                <w:b/>
                <w:bCs/>
                <w:color w:val="000000" w:themeColor="text1"/>
              </w:rPr>
            </w:pPr>
            <w:r w:rsidRPr="009827C2">
              <w:rPr>
                <w:b/>
                <w:bCs/>
                <w:color w:val="000000" w:themeColor="text1"/>
              </w:rPr>
              <w:t>Decision-making</w:t>
            </w:r>
          </w:p>
        </w:tc>
        <w:tc>
          <w:tcPr>
            <w:tcW w:w="7088" w:type="dxa"/>
          </w:tcPr>
          <w:p w14:paraId="4FA8471A" w14:textId="63D3CECA" w:rsidR="00E06F93" w:rsidRDefault="00E06F93" w:rsidP="002B7C5B">
            <w:pPr>
              <w:spacing w:before="120" w:after="120"/>
              <w:rPr>
                <w:color w:val="000000" w:themeColor="text1"/>
              </w:rPr>
            </w:pPr>
            <w:r w:rsidRPr="009827C2">
              <w:rPr>
                <w:b/>
                <w:color w:val="000000" w:themeColor="text1"/>
              </w:rPr>
              <w:t>Decisions:</w:t>
            </w:r>
            <w:r w:rsidRPr="009827C2">
              <w:rPr>
                <w:color w:val="000000" w:themeColor="text1"/>
              </w:rPr>
              <w:t>  Decisions are taken in accordance with the Standing Orders and</w:t>
            </w:r>
            <w:r w:rsidR="00D1748F">
              <w:rPr>
                <w:color w:val="000000" w:themeColor="text1"/>
              </w:rPr>
              <w:t xml:space="preserve"> </w:t>
            </w:r>
            <w:r w:rsidR="004627E5">
              <w:rPr>
                <w:rStyle w:val="ui-provider"/>
              </w:rPr>
              <w:t xml:space="preserve">NHS (Pharmaceutical and Local Pharmaceutical Services) Regulations 2013 (as </w:t>
            </w:r>
            <w:proofErr w:type="gramStart"/>
            <w:r w:rsidR="004627E5">
              <w:rPr>
                <w:rStyle w:val="ui-provider"/>
              </w:rPr>
              <w:t>amended)</w:t>
            </w:r>
            <w:r w:rsidRPr="009827C2">
              <w:rPr>
                <w:color w:val="000000" w:themeColor="text1"/>
              </w:rPr>
              <w:t>are</w:t>
            </w:r>
            <w:proofErr w:type="gramEnd"/>
            <w:r w:rsidRPr="009827C2">
              <w:rPr>
                <w:color w:val="000000" w:themeColor="text1"/>
              </w:rPr>
              <w:t xml:space="preserve"> arrived at by consensus. </w:t>
            </w:r>
          </w:p>
          <w:p w14:paraId="53441B5A" w14:textId="77777777" w:rsidR="009E3323" w:rsidRDefault="004627E5" w:rsidP="002B7C5B">
            <w:pPr>
              <w:spacing w:before="120" w:after="120"/>
              <w:rPr>
                <w:color w:val="000000" w:themeColor="text1"/>
              </w:rPr>
            </w:pPr>
            <w:r w:rsidRPr="00D549F0">
              <w:rPr>
                <w:color w:val="000000" w:themeColor="text1"/>
              </w:rPr>
              <w:t>Where decisions cannot be made by consensus the</w:t>
            </w:r>
            <w:r>
              <w:rPr>
                <w:color w:val="000000" w:themeColor="text1"/>
              </w:rPr>
              <w:t xml:space="preserve"> </w:t>
            </w:r>
            <w:r w:rsidR="00041E32">
              <w:rPr>
                <w:color w:val="000000" w:themeColor="text1"/>
              </w:rPr>
              <w:t>Chair of acting Vice Chair</w:t>
            </w:r>
            <w:r>
              <w:rPr>
                <w:color w:val="000000" w:themeColor="text1"/>
              </w:rPr>
              <w:t xml:space="preserve"> (through which the ICB Executive Committee delegations are enacted) will agree the course of action</w:t>
            </w:r>
          </w:p>
          <w:p w14:paraId="44DBD544" w14:textId="77777777" w:rsidR="000F03CB" w:rsidRPr="00A836C1" w:rsidRDefault="000F03CB" w:rsidP="002B7C5B">
            <w:pPr>
              <w:spacing w:before="120" w:after="120"/>
              <w:rPr>
                <w:b/>
                <w:bCs/>
                <w:color w:val="000000" w:themeColor="text1"/>
              </w:rPr>
            </w:pPr>
          </w:p>
          <w:p w14:paraId="79479BC5" w14:textId="6C3FD9C2" w:rsidR="000F03CB" w:rsidRPr="00A836C1" w:rsidRDefault="00A1702B" w:rsidP="002B7C5B">
            <w:pPr>
              <w:spacing w:before="120" w:after="120"/>
              <w:rPr>
                <w:b/>
                <w:bCs/>
                <w:color w:val="000000" w:themeColor="text1"/>
              </w:rPr>
            </w:pPr>
            <w:r w:rsidRPr="00A836C1">
              <w:rPr>
                <w:b/>
                <w:bCs/>
                <w:color w:val="000000" w:themeColor="text1"/>
              </w:rPr>
              <w:t>Fitness to Practice delegated decision making</w:t>
            </w:r>
            <w:r w:rsidR="00C5066A" w:rsidRPr="00692F33">
              <w:rPr>
                <w:b/>
                <w:bCs/>
                <w:color w:val="000000" w:themeColor="text1"/>
              </w:rPr>
              <w:t xml:space="preserve"> (as </w:t>
            </w:r>
            <w:r w:rsidR="00692F33" w:rsidRPr="00692F33">
              <w:rPr>
                <w:b/>
                <w:bCs/>
                <w:color w:val="000000" w:themeColor="text1"/>
              </w:rPr>
              <w:t xml:space="preserve">outlined in </w:t>
            </w:r>
            <w:r w:rsidR="00692F33" w:rsidRPr="00A836C1">
              <w:rPr>
                <w:rStyle w:val="ui-provider"/>
                <w:b/>
                <w:bCs/>
              </w:rPr>
              <w:t xml:space="preserve">NHS Pharmaceutical and Local Pharmaceutical Services Regulations </w:t>
            </w:r>
            <w:r w:rsidR="00692F33" w:rsidRPr="00692F33">
              <w:rPr>
                <w:rStyle w:val="ui-provider"/>
                <w:b/>
                <w:bCs/>
              </w:rPr>
              <w:t xml:space="preserve">2013 </w:t>
            </w:r>
            <w:r w:rsidR="00692F33" w:rsidRPr="00692F33">
              <w:rPr>
                <w:b/>
                <w:bCs/>
                <w:color w:val="000000" w:themeColor="text1"/>
              </w:rPr>
              <w:t>point</w:t>
            </w:r>
            <w:r w:rsidR="00125410" w:rsidRPr="00692F33">
              <w:rPr>
                <w:b/>
                <w:bCs/>
                <w:color w:val="000000" w:themeColor="text1"/>
              </w:rPr>
              <w:t xml:space="preserve"> 52</w:t>
            </w:r>
            <w:r w:rsidR="00692F33" w:rsidRPr="00692F33">
              <w:rPr>
                <w:b/>
                <w:bCs/>
                <w:color w:val="000000" w:themeColor="text1"/>
              </w:rPr>
              <w:t>)</w:t>
            </w:r>
            <w:r w:rsidRPr="00A836C1">
              <w:rPr>
                <w:b/>
                <w:bCs/>
                <w:color w:val="000000" w:themeColor="text1"/>
              </w:rPr>
              <w:t>:</w:t>
            </w:r>
          </w:p>
          <w:p w14:paraId="0EAFF809" w14:textId="77777777" w:rsidR="00442418" w:rsidRDefault="00C5066A" w:rsidP="002B7C5B">
            <w:pPr>
              <w:spacing w:before="120" w:after="120"/>
              <w:rPr>
                <w:rFonts w:eastAsia="Times New Roman"/>
                <w:color w:val="202A30"/>
                <w:lang w:eastAsia="en-GB"/>
              </w:rPr>
            </w:pPr>
            <w:r w:rsidRPr="0000089F">
              <w:rPr>
                <w:rFonts w:eastAsia="Times New Roman"/>
                <w:color w:val="202A30"/>
                <w:lang w:eastAsia="en-GB"/>
              </w:rPr>
              <w:t xml:space="preserve">Where an applicant is applying to be included in the relevant pharmaceutical list for the first time and the checks on the fitness information reveal no adverse findings and the references are satisfactory, </w:t>
            </w:r>
            <w:r w:rsidR="00125410">
              <w:rPr>
                <w:rFonts w:eastAsia="Times New Roman"/>
                <w:color w:val="202A30"/>
                <w:lang w:eastAsia="en-GB"/>
              </w:rPr>
              <w:t>PSRC</w:t>
            </w:r>
            <w:r w:rsidRPr="0000089F">
              <w:rPr>
                <w:rFonts w:eastAsia="Times New Roman"/>
                <w:color w:val="202A30"/>
                <w:lang w:eastAsia="en-GB"/>
              </w:rPr>
              <w:t xml:space="preserve"> </w:t>
            </w:r>
            <w:r w:rsidR="00B97D64">
              <w:rPr>
                <w:rFonts w:eastAsia="Times New Roman"/>
                <w:color w:val="202A30"/>
                <w:lang w:eastAsia="en-GB"/>
              </w:rPr>
              <w:t>can</w:t>
            </w:r>
            <w:r w:rsidRPr="0000089F">
              <w:rPr>
                <w:rFonts w:eastAsia="Times New Roman"/>
                <w:color w:val="202A30"/>
                <w:lang w:eastAsia="en-GB"/>
              </w:rPr>
              <w:t xml:space="preserve"> nominate an </w:t>
            </w:r>
            <w:r w:rsidR="00B97D64">
              <w:rPr>
                <w:rFonts w:eastAsia="Times New Roman"/>
                <w:color w:val="202A30"/>
                <w:lang w:eastAsia="en-GB"/>
              </w:rPr>
              <w:t>ICB Clinical Advisor</w:t>
            </w:r>
            <w:r w:rsidR="00442418">
              <w:rPr>
                <w:rFonts w:eastAsia="Times New Roman"/>
                <w:color w:val="202A30"/>
                <w:lang w:eastAsia="en-GB"/>
              </w:rPr>
              <w:t>,</w:t>
            </w:r>
            <w:r w:rsidRPr="0000089F">
              <w:rPr>
                <w:rFonts w:eastAsia="Times New Roman"/>
                <w:color w:val="202A30"/>
                <w:lang w:eastAsia="en-GB"/>
              </w:rPr>
              <w:t xml:space="preserve"> who has the appropriate clinical experience</w:t>
            </w:r>
            <w:r w:rsidR="00442418">
              <w:rPr>
                <w:rFonts w:eastAsia="Times New Roman"/>
                <w:color w:val="202A30"/>
                <w:lang w:eastAsia="en-GB"/>
              </w:rPr>
              <w:t>,</w:t>
            </w:r>
            <w:r w:rsidRPr="0000089F">
              <w:rPr>
                <w:rFonts w:eastAsia="Times New Roman"/>
                <w:color w:val="202A30"/>
                <w:lang w:eastAsia="en-GB"/>
              </w:rPr>
              <w:t xml:space="preserve"> to make decisions on whether the applicant is suitable to be included in the relevant pharmaceutical list on fitness grounds. </w:t>
            </w:r>
          </w:p>
          <w:p w14:paraId="4E4C8913" w14:textId="6775E8B4" w:rsidR="00A1702B" w:rsidRPr="009827C2" w:rsidRDefault="00C5066A" w:rsidP="002B7C5B">
            <w:pPr>
              <w:spacing w:before="120" w:after="120"/>
              <w:rPr>
                <w:color w:val="000000" w:themeColor="text1"/>
              </w:rPr>
            </w:pPr>
            <w:r w:rsidRPr="0000089F">
              <w:rPr>
                <w:rFonts w:eastAsia="Times New Roman"/>
                <w:color w:val="202A30"/>
                <w:lang w:eastAsia="en-GB"/>
              </w:rPr>
              <w:t xml:space="preserve">Where the checks and/or references reveal adverse findings, which may lead the application to be refused or deferred on fitness grounds or for the applicant to be conditionally included, </w:t>
            </w:r>
            <w:r w:rsidR="00B97D64">
              <w:rPr>
                <w:rFonts w:eastAsia="Times New Roman"/>
                <w:color w:val="202A30"/>
                <w:lang w:eastAsia="en-GB"/>
              </w:rPr>
              <w:t>PSRC</w:t>
            </w:r>
            <w:r w:rsidRPr="0000089F">
              <w:rPr>
                <w:rFonts w:eastAsia="Times New Roman"/>
                <w:color w:val="202A30"/>
                <w:lang w:eastAsia="en-GB"/>
              </w:rPr>
              <w:t xml:space="preserve"> will be required to make the decision on the applicant’s fitness</w:t>
            </w:r>
            <w:r w:rsidR="00442418">
              <w:rPr>
                <w:rFonts w:eastAsia="Times New Roman"/>
                <w:color w:val="202A30"/>
                <w:lang w:eastAsia="en-GB"/>
              </w:rPr>
              <w:t>.</w:t>
            </w:r>
          </w:p>
        </w:tc>
      </w:tr>
      <w:tr w:rsidR="00E06F93" w:rsidRPr="009827C2" w14:paraId="551B94E9" w14:textId="77777777" w:rsidTr="00D97F8B">
        <w:tc>
          <w:tcPr>
            <w:tcW w:w="1848" w:type="dxa"/>
          </w:tcPr>
          <w:p w14:paraId="74E4B872" w14:textId="77777777" w:rsidR="00E06F93" w:rsidRPr="009827C2" w:rsidRDefault="00E06F93" w:rsidP="002B7C5B">
            <w:pPr>
              <w:spacing w:before="120" w:after="120"/>
              <w:rPr>
                <w:b/>
                <w:bCs/>
              </w:rPr>
            </w:pPr>
            <w:r w:rsidRPr="009827C2">
              <w:rPr>
                <w:b/>
                <w:bCs/>
              </w:rPr>
              <w:t>Conduct</w:t>
            </w:r>
          </w:p>
        </w:tc>
        <w:tc>
          <w:tcPr>
            <w:tcW w:w="7088" w:type="dxa"/>
          </w:tcPr>
          <w:p w14:paraId="0584DCE9" w14:textId="3FB9DF03" w:rsidR="00E06F93" w:rsidRPr="009827C2" w:rsidRDefault="00E06F93" w:rsidP="002B7C5B">
            <w:pPr>
              <w:spacing w:before="120" w:after="120"/>
              <w:rPr>
                <w:b/>
              </w:rPr>
            </w:pPr>
            <w:r w:rsidRPr="009827C2">
              <w:t xml:space="preserve">The </w:t>
            </w:r>
            <w:r w:rsidR="00A836C1">
              <w:t>Subcommittee</w:t>
            </w:r>
            <w:r w:rsidRPr="009827C2">
              <w:t xml:space="preserve"> conducts its business in accordance with relevant codes of conduct / good governance practice, including the Nolan principles of public life, the ICB Standards of Business </w:t>
            </w:r>
            <w:r w:rsidRPr="009827C2">
              <w:lastRenderedPageBreak/>
              <w:t>Conduct Policy, and other relevant policies / guidance on good and proper meeting conduct for NHS organisations</w:t>
            </w:r>
          </w:p>
        </w:tc>
      </w:tr>
    </w:tbl>
    <w:p w14:paraId="1E2C8650" w14:textId="77777777" w:rsidR="00E06F93" w:rsidRPr="009827C2" w:rsidRDefault="00E06F93" w:rsidP="00E06F93">
      <w:pPr>
        <w:ind w:left="567"/>
        <w:rPr>
          <w:b/>
          <w:bCs/>
        </w:rPr>
      </w:pPr>
    </w:p>
    <w:p w14:paraId="2D297278" w14:textId="77777777" w:rsidR="00E06F93" w:rsidRPr="009827C2" w:rsidRDefault="00E06F93" w:rsidP="00E06F93">
      <w:pPr>
        <w:ind w:left="567"/>
        <w:rPr>
          <w:b/>
          <w:bCs/>
        </w:rPr>
      </w:pPr>
    </w:p>
    <w:p w14:paraId="2A194368" w14:textId="77777777" w:rsidR="00E06F93" w:rsidRPr="009827C2" w:rsidRDefault="00E06F93" w:rsidP="00E06F93">
      <w:pPr>
        <w:ind w:left="567"/>
        <w:rPr>
          <w:b/>
          <w:bCs/>
        </w:rPr>
      </w:pPr>
    </w:p>
    <w:p w14:paraId="263BB025" w14:textId="77777777" w:rsidR="00E06F93" w:rsidRPr="009827C2" w:rsidRDefault="00E06F93" w:rsidP="00E06F93">
      <w:pPr>
        <w:pStyle w:val="Heading1"/>
        <w:keepNext w:val="0"/>
        <w:keepLines w:val="0"/>
        <w:widowControl w:val="0"/>
        <w:spacing w:before="0" w:after="120"/>
        <w:ind w:left="567" w:hanging="567"/>
        <w:rPr>
          <w:rFonts w:cs="Arial"/>
          <w:sz w:val="24"/>
          <w:szCs w:val="24"/>
        </w:rPr>
      </w:pPr>
      <w:bookmarkStart w:id="35" w:name="_Toc120720216"/>
      <w:bookmarkStart w:id="36" w:name="_Toc123192568"/>
      <w:bookmarkStart w:id="37" w:name="_Toc129940301"/>
      <w:r w:rsidRPr="009827C2">
        <w:rPr>
          <w:rFonts w:cs="Arial"/>
          <w:sz w:val="24"/>
          <w:szCs w:val="24"/>
        </w:rPr>
        <w:t>Secretariat and administration</w:t>
      </w:r>
      <w:bookmarkEnd w:id="35"/>
      <w:bookmarkEnd w:id="36"/>
      <w:bookmarkEnd w:id="37"/>
      <w:r w:rsidRPr="009827C2">
        <w:rPr>
          <w:rFonts w:cs="Arial"/>
          <w:sz w:val="24"/>
          <w:szCs w:val="24"/>
        </w:rPr>
        <w:t xml:space="preserve"> </w:t>
      </w:r>
    </w:p>
    <w:p w14:paraId="5AE13A3B" w14:textId="0A78DF4D" w:rsidR="00E06F93" w:rsidRPr="009827C2" w:rsidRDefault="00E06F93" w:rsidP="00E06F93">
      <w:pPr>
        <w:pStyle w:val="Indentedparagraph"/>
        <w:rPr>
          <w:rFonts w:cs="Arial"/>
          <w:sz w:val="24"/>
          <w:szCs w:val="24"/>
        </w:rPr>
      </w:pPr>
      <w:r w:rsidRPr="009827C2">
        <w:rPr>
          <w:rFonts w:cs="Arial"/>
          <w:sz w:val="24"/>
          <w:szCs w:val="24"/>
        </w:rPr>
        <w:t xml:space="preserve">This section describes the functions of the secretariat whose role is to support the </w:t>
      </w:r>
      <w:r w:rsidR="00A836C1">
        <w:rPr>
          <w:rFonts w:cs="Arial"/>
          <w:sz w:val="24"/>
          <w:szCs w:val="24"/>
        </w:rPr>
        <w:t>Subcommittee</w:t>
      </w:r>
      <w:r w:rsidRPr="009827C2">
        <w:rPr>
          <w:rFonts w:cs="Arial"/>
          <w:sz w:val="24"/>
          <w:szCs w:val="24"/>
        </w:rPr>
        <w:t xml:space="preserve"> in the following ways:</w:t>
      </w:r>
    </w:p>
    <w:p w14:paraId="0D83CB85" w14:textId="77777777" w:rsidR="00E06F93" w:rsidRPr="009827C2" w:rsidRDefault="00E06F93" w:rsidP="00E06F93">
      <w:pPr>
        <w:pStyle w:val="Indentedparagraph"/>
        <w:rPr>
          <w:rFonts w:cs="Arial"/>
          <w:sz w:val="24"/>
          <w:szCs w:val="24"/>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9827C2" w14:paraId="2FCB3246" w14:textId="77777777" w:rsidTr="002B7C5B">
        <w:trPr>
          <w:tblHeader/>
        </w:trPr>
        <w:tc>
          <w:tcPr>
            <w:tcW w:w="1848" w:type="dxa"/>
            <w:shd w:val="clear" w:color="auto" w:fill="EEECE1" w:themeFill="background2"/>
          </w:tcPr>
          <w:p w14:paraId="142357E1" w14:textId="77777777" w:rsidR="00E06F93" w:rsidRPr="009827C2" w:rsidRDefault="00E06F93" w:rsidP="002B7C5B">
            <w:pPr>
              <w:spacing w:before="120" w:after="120"/>
              <w:rPr>
                <w:b/>
                <w:bCs/>
                <w:color w:val="000000" w:themeColor="text1"/>
              </w:rPr>
            </w:pPr>
            <w:r w:rsidRPr="009827C2">
              <w:rPr>
                <w:b/>
                <w:bCs/>
                <w:color w:val="000000" w:themeColor="text1"/>
              </w:rPr>
              <w:t>Functions</w:t>
            </w:r>
          </w:p>
        </w:tc>
        <w:tc>
          <w:tcPr>
            <w:tcW w:w="7088" w:type="dxa"/>
            <w:shd w:val="clear" w:color="auto" w:fill="EEECE1" w:themeFill="background2"/>
          </w:tcPr>
          <w:p w14:paraId="2AEF0CCF" w14:textId="77777777" w:rsidR="00E06F93" w:rsidRPr="009827C2" w:rsidRDefault="00E06F93" w:rsidP="002B7C5B">
            <w:pPr>
              <w:spacing w:before="120" w:after="120"/>
              <w:rPr>
                <w:b/>
                <w:bCs/>
                <w:color w:val="000000" w:themeColor="text1"/>
              </w:rPr>
            </w:pPr>
            <w:r w:rsidRPr="009827C2">
              <w:rPr>
                <w:b/>
                <w:bCs/>
                <w:color w:val="000000" w:themeColor="text1"/>
              </w:rPr>
              <w:t>Description</w:t>
            </w:r>
          </w:p>
        </w:tc>
      </w:tr>
      <w:tr w:rsidR="00E06F93" w:rsidRPr="009827C2" w14:paraId="2AA28B13" w14:textId="77777777" w:rsidTr="002B7C5B">
        <w:tc>
          <w:tcPr>
            <w:tcW w:w="1848" w:type="dxa"/>
          </w:tcPr>
          <w:p w14:paraId="21546F70" w14:textId="77777777" w:rsidR="00E06F93" w:rsidRPr="009827C2" w:rsidRDefault="00E06F93" w:rsidP="002B7C5B">
            <w:pPr>
              <w:spacing w:before="120" w:after="120"/>
              <w:rPr>
                <w:rFonts w:eastAsia="Times New Roman"/>
                <w:b/>
                <w:bCs/>
                <w:color w:val="000000" w:themeColor="text1"/>
              </w:rPr>
            </w:pPr>
            <w:r w:rsidRPr="009827C2">
              <w:rPr>
                <w:b/>
                <w:bCs/>
                <w:color w:val="000000" w:themeColor="text1"/>
              </w:rPr>
              <w:t>Distribute papers</w:t>
            </w:r>
          </w:p>
        </w:tc>
        <w:tc>
          <w:tcPr>
            <w:tcW w:w="7088" w:type="dxa"/>
          </w:tcPr>
          <w:p w14:paraId="3F43E485" w14:textId="77777777" w:rsidR="00E06F93" w:rsidRPr="009827C2" w:rsidRDefault="00E06F93" w:rsidP="002B7C5B">
            <w:pPr>
              <w:spacing w:before="120" w:after="120"/>
              <w:rPr>
                <w:color w:val="000000" w:themeColor="text1"/>
              </w:rPr>
            </w:pPr>
            <w:r w:rsidRPr="009827C2">
              <w:rPr>
                <w:color w:val="000000" w:themeColor="text1"/>
              </w:rPr>
              <w:t>Prepare and distribute the agenda and papers in accordance with the Standing Orders following their agreement by the chair with the support of the relevant executive lead.</w:t>
            </w:r>
          </w:p>
        </w:tc>
      </w:tr>
      <w:tr w:rsidR="00E06F93" w:rsidRPr="009827C2" w14:paraId="5A5A1A26" w14:textId="77777777" w:rsidTr="002B7C5B">
        <w:tc>
          <w:tcPr>
            <w:tcW w:w="1848" w:type="dxa"/>
          </w:tcPr>
          <w:p w14:paraId="38BE19B1" w14:textId="77777777" w:rsidR="00E06F93" w:rsidRPr="009827C2" w:rsidRDefault="00E06F93" w:rsidP="002B7C5B">
            <w:pPr>
              <w:spacing w:before="120" w:after="120"/>
              <w:rPr>
                <w:rFonts w:eastAsia="Times New Roman"/>
                <w:b/>
                <w:bCs/>
                <w:color w:val="000000" w:themeColor="text1"/>
              </w:rPr>
            </w:pPr>
            <w:r w:rsidRPr="009827C2">
              <w:rPr>
                <w:b/>
                <w:bCs/>
                <w:color w:val="000000" w:themeColor="text1"/>
              </w:rPr>
              <w:t>Monitor attendance</w:t>
            </w:r>
          </w:p>
        </w:tc>
        <w:tc>
          <w:tcPr>
            <w:tcW w:w="7088" w:type="dxa"/>
          </w:tcPr>
          <w:p w14:paraId="6FEC6135" w14:textId="77777777" w:rsidR="00E06F93" w:rsidRPr="009827C2" w:rsidRDefault="00E06F93" w:rsidP="002B7C5B">
            <w:pPr>
              <w:spacing w:before="120" w:after="120"/>
              <w:rPr>
                <w:rFonts w:eastAsia="Times New Roman"/>
                <w:bCs/>
                <w:color w:val="000000" w:themeColor="text1"/>
              </w:rPr>
            </w:pPr>
            <w:r w:rsidRPr="009827C2">
              <w:rPr>
                <w:color w:val="000000" w:themeColor="text1"/>
              </w:rPr>
              <w:t>Monitor the attendance of those invited to each meeting and highlight to the chair those that are not meeting the minimum attendance requirements.</w:t>
            </w:r>
          </w:p>
        </w:tc>
      </w:tr>
      <w:tr w:rsidR="00E06F93" w:rsidRPr="009827C2" w14:paraId="56E1A4EF" w14:textId="77777777" w:rsidTr="002B7C5B">
        <w:tc>
          <w:tcPr>
            <w:tcW w:w="1848" w:type="dxa"/>
          </w:tcPr>
          <w:p w14:paraId="4DAA1339" w14:textId="77777777" w:rsidR="00E06F93" w:rsidRPr="009827C2" w:rsidRDefault="00E06F93" w:rsidP="002B7C5B">
            <w:pPr>
              <w:spacing w:before="120" w:after="120"/>
              <w:rPr>
                <w:rFonts w:eastAsia="Times New Roman"/>
                <w:b/>
                <w:bCs/>
                <w:color w:val="000000" w:themeColor="text1"/>
              </w:rPr>
            </w:pPr>
            <w:r w:rsidRPr="009827C2">
              <w:rPr>
                <w:b/>
                <w:bCs/>
                <w:color w:val="000000" w:themeColor="text1"/>
              </w:rPr>
              <w:t>Maintain records</w:t>
            </w:r>
          </w:p>
        </w:tc>
        <w:tc>
          <w:tcPr>
            <w:tcW w:w="7088" w:type="dxa"/>
          </w:tcPr>
          <w:p w14:paraId="10B04F5F" w14:textId="77777777" w:rsidR="00E06F93" w:rsidRPr="009827C2" w:rsidRDefault="00E06F93" w:rsidP="002B7C5B">
            <w:pPr>
              <w:spacing w:before="120" w:after="120"/>
              <w:rPr>
                <w:rFonts w:eastAsia="Times New Roman"/>
                <w:bCs/>
                <w:color w:val="000000" w:themeColor="text1"/>
              </w:rPr>
            </w:pPr>
            <w:r w:rsidRPr="009827C2">
              <w:rPr>
                <w:color w:val="000000" w:themeColor="text1"/>
              </w:rPr>
              <w:t>Record conflicts of interest, members’ appointments and renewal dates.  Provide prompts to renew membership and to identify new members where necessary.</w:t>
            </w:r>
          </w:p>
        </w:tc>
      </w:tr>
      <w:tr w:rsidR="00E06F93" w:rsidRPr="009827C2" w14:paraId="583237D0" w14:textId="77777777" w:rsidTr="002B7C5B">
        <w:tc>
          <w:tcPr>
            <w:tcW w:w="1848" w:type="dxa"/>
          </w:tcPr>
          <w:p w14:paraId="29815239" w14:textId="77777777" w:rsidR="00E06F93" w:rsidRPr="009827C2" w:rsidRDefault="00E06F93" w:rsidP="002B7C5B">
            <w:pPr>
              <w:spacing w:before="120" w:after="120"/>
              <w:rPr>
                <w:rFonts w:eastAsia="Times New Roman"/>
                <w:b/>
                <w:bCs/>
                <w:color w:val="000000" w:themeColor="text1"/>
              </w:rPr>
            </w:pPr>
            <w:r w:rsidRPr="009827C2">
              <w:rPr>
                <w:b/>
                <w:bCs/>
                <w:color w:val="000000" w:themeColor="text1"/>
              </w:rPr>
              <w:t>Minute Taking</w:t>
            </w:r>
          </w:p>
        </w:tc>
        <w:tc>
          <w:tcPr>
            <w:tcW w:w="7088" w:type="dxa"/>
          </w:tcPr>
          <w:p w14:paraId="613C0FAD" w14:textId="77777777" w:rsidR="00E06F93" w:rsidRPr="009827C2" w:rsidRDefault="00E06F93" w:rsidP="002B7C5B">
            <w:pPr>
              <w:spacing w:before="120" w:after="120"/>
              <w:rPr>
                <w:rFonts w:eastAsia="Times New Roman"/>
                <w:bCs/>
                <w:color w:val="000000" w:themeColor="text1"/>
              </w:rPr>
            </w:pPr>
            <w:r w:rsidRPr="009827C2">
              <w:rPr>
                <w:color w:val="000000" w:themeColor="text1"/>
              </w:rPr>
              <w:t>Take good quality minutes and agree them with the chair. Keep a record of matters arising, action points and issues to be carried forward.</w:t>
            </w:r>
          </w:p>
        </w:tc>
      </w:tr>
      <w:tr w:rsidR="00E06F93" w:rsidRPr="009827C2" w14:paraId="3ED62F29" w14:textId="77777777" w:rsidTr="002B7C5B">
        <w:tc>
          <w:tcPr>
            <w:tcW w:w="1848" w:type="dxa"/>
          </w:tcPr>
          <w:p w14:paraId="199409D8" w14:textId="77777777" w:rsidR="00E06F93" w:rsidRPr="009827C2" w:rsidRDefault="00E06F93" w:rsidP="002B7C5B">
            <w:pPr>
              <w:spacing w:before="120" w:after="120"/>
              <w:rPr>
                <w:b/>
                <w:bCs/>
                <w:color w:val="000000" w:themeColor="text1"/>
              </w:rPr>
            </w:pPr>
            <w:r w:rsidRPr="009827C2">
              <w:rPr>
                <w:b/>
                <w:bCs/>
                <w:color w:val="000000" w:themeColor="text1"/>
              </w:rPr>
              <w:t>Support for Chair &amp; Committee</w:t>
            </w:r>
          </w:p>
        </w:tc>
        <w:tc>
          <w:tcPr>
            <w:tcW w:w="7088" w:type="dxa"/>
          </w:tcPr>
          <w:p w14:paraId="5F4A70CB" w14:textId="77777777" w:rsidR="00E06F93" w:rsidRPr="009827C2" w:rsidRDefault="00E06F93" w:rsidP="002B7C5B">
            <w:pPr>
              <w:spacing w:before="120" w:after="120"/>
              <w:rPr>
                <w:color w:val="000000" w:themeColor="text1"/>
              </w:rPr>
            </w:pPr>
            <w:r w:rsidRPr="009827C2">
              <w:rPr>
                <w:color w:val="000000" w:themeColor="text1"/>
              </w:rPr>
              <w:t>Support the chair in preparing and delivering reports to the parent committee.</w:t>
            </w:r>
          </w:p>
          <w:p w14:paraId="45D606F8" w14:textId="77777777" w:rsidR="00E06F93" w:rsidRPr="009827C2" w:rsidRDefault="00E06F93" w:rsidP="002B7C5B">
            <w:pPr>
              <w:spacing w:before="120" w:after="120"/>
              <w:rPr>
                <w:color w:val="000000" w:themeColor="text1"/>
              </w:rPr>
            </w:pPr>
            <w:r w:rsidRPr="009827C2">
              <w:rPr>
                <w:color w:val="000000" w:themeColor="text1"/>
              </w:rPr>
              <w:t>Take forward action points between meetings and monitor progress against those actions.</w:t>
            </w:r>
          </w:p>
        </w:tc>
      </w:tr>
      <w:tr w:rsidR="00E06F93" w:rsidRPr="009827C2" w14:paraId="495455C4" w14:textId="77777777" w:rsidTr="002B7C5B">
        <w:tc>
          <w:tcPr>
            <w:tcW w:w="1848" w:type="dxa"/>
          </w:tcPr>
          <w:p w14:paraId="39DC1448" w14:textId="77777777" w:rsidR="00E06F93" w:rsidRPr="009827C2" w:rsidRDefault="00E06F93" w:rsidP="002B7C5B">
            <w:pPr>
              <w:spacing w:before="120" w:after="120"/>
              <w:rPr>
                <w:b/>
                <w:bCs/>
                <w:color w:val="000000" w:themeColor="text1"/>
              </w:rPr>
            </w:pPr>
            <w:r w:rsidRPr="009827C2">
              <w:rPr>
                <w:b/>
                <w:bCs/>
                <w:color w:val="000000" w:themeColor="text1"/>
              </w:rPr>
              <w:t>Provide updates</w:t>
            </w:r>
          </w:p>
        </w:tc>
        <w:tc>
          <w:tcPr>
            <w:tcW w:w="7088" w:type="dxa"/>
          </w:tcPr>
          <w:p w14:paraId="4B02E692" w14:textId="64E891E7" w:rsidR="00E06F93" w:rsidRPr="009827C2" w:rsidRDefault="00E06F93" w:rsidP="002B7C5B">
            <w:pPr>
              <w:spacing w:before="120" w:after="120"/>
              <w:rPr>
                <w:rFonts w:eastAsia="Times New Roman"/>
                <w:bCs/>
                <w:color w:val="000000" w:themeColor="text1"/>
              </w:rPr>
            </w:pPr>
            <w:r w:rsidRPr="009827C2">
              <w:rPr>
                <w:color w:val="000000" w:themeColor="text1"/>
              </w:rPr>
              <w:t xml:space="preserve">Update the </w:t>
            </w:r>
            <w:r w:rsidR="00A836C1">
              <w:rPr>
                <w:color w:val="000000" w:themeColor="text1"/>
              </w:rPr>
              <w:t>Subcommittee</w:t>
            </w:r>
            <w:r w:rsidRPr="009827C2">
              <w:rPr>
                <w:color w:val="000000" w:themeColor="text1"/>
              </w:rPr>
              <w:t xml:space="preserve"> on pertinent issues/ areas of interest/ policy developments.</w:t>
            </w:r>
          </w:p>
        </w:tc>
      </w:tr>
      <w:tr w:rsidR="00E06F93" w:rsidRPr="009827C2" w14:paraId="727B52DE" w14:textId="77777777" w:rsidTr="002B7C5B">
        <w:tc>
          <w:tcPr>
            <w:tcW w:w="1848" w:type="dxa"/>
          </w:tcPr>
          <w:p w14:paraId="436B1B2B" w14:textId="77777777" w:rsidR="00E06F93" w:rsidRPr="009827C2" w:rsidRDefault="00E06F93" w:rsidP="002B7C5B">
            <w:pPr>
              <w:spacing w:before="120" w:after="120"/>
              <w:rPr>
                <w:b/>
                <w:bCs/>
              </w:rPr>
            </w:pPr>
            <w:r w:rsidRPr="009827C2">
              <w:rPr>
                <w:b/>
                <w:bCs/>
              </w:rPr>
              <w:t>Governance advice</w:t>
            </w:r>
          </w:p>
        </w:tc>
        <w:tc>
          <w:tcPr>
            <w:tcW w:w="7088" w:type="dxa"/>
          </w:tcPr>
          <w:p w14:paraId="7EFE07B9" w14:textId="2457110A" w:rsidR="00E06F93" w:rsidRPr="009827C2" w:rsidRDefault="00E06F93" w:rsidP="002B7C5B">
            <w:pPr>
              <w:spacing w:before="120" w:after="120"/>
              <w:ind w:right="-112"/>
            </w:pPr>
            <w:r w:rsidRPr="009827C2">
              <w:t xml:space="preserve">Provide easy access to governance advice for </w:t>
            </w:r>
            <w:r w:rsidR="00A836C1">
              <w:t>Subcommittee</w:t>
            </w:r>
            <w:r w:rsidRPr="009827C2">
              <w:t xml:space="preserve"> members</w:t>
            </w:r>
          </w:p>
        </w:tc>
      </w:tr>
    </w:tbl>
    <w:p w14:paraId="002708DC" w14:textId="77777777" w:rsidR="00E06F93" w:rsidRPr="009827C2" w:rsidRDefault="00E06F93" w:rsidP="00E06F93">
      <w:pPr>
        <w:rPr>
          <w:b/>
          <w:bCs/>
        </w:rPr>
      </w:pPr>
    </w:p>
    <w:p w14:paraId="748B9D49" w14:textId="77777777" w:rsidR="00E06F93" w:rsidRPr="009827C2" w:rsidRDefault="00E06F93" w:rsidP="00E06F93">
      <w:pPr>
        <w:rPr>
          <w:b/>
          <w:bCs/>
        </w:rPr>
      </w:pPr>
    </w:p>
    <w:p w14:paraId="2B1DF0A9" w14:textId="77777777" w:rsidR="00E06F93" w:rsidRPr="009827C2" w:rsidRDefault="00E06F93" w:rsidP="00E06F93">
      <w:pPr>
        <w:pStyle w:val="Heading1"/>
        <w:keepNext w:val="0"/>
        <w:keepLines w:val="0"/>
        <w:widowControl w:val="0"/>
        <w:spacing w:before="0" w:after="120"/>
        <w:ind w:left="567" w:hanging="567"/>
        <w:rPr>
          <w:rFonts w:cs="Arial"/>
          <w:sz w:val="24"/>
          <w:szCs w:val="24"/>
        </w:rPr>
      </w:pPr>
      <w:bookmarkStart w:id="38" w:name="_Toc120720217"/>
      <w:bookmarkStart w:id="39" w:name="_Toc123192569"/>
      <w:bookmarkStart w:id="40" w:name="_Toc129940302"/>
      <w:r w:rsidRPr="009827C2">
        <w:rPr>
          <w:rFonts w:cs="Arial"/>
          <w:sz w:val="24"/>
          <w:szCs w:val="24"/>
        </w:rPr>
        <w:t>Appendix 1: Approval History</w:t>
      </w:r>
      <w:bookmarkEnd w:id="38"/>
      <w:bookmarkEnd w:id="39"/>
      <w:bookmarkEnd w:id="40"/>
    </w:p>
    <w:p w14:paraId="36A63DEA" w14:textId="77777777" w:rsidR="00E06F93" w:rsidRPr="009827C2" w:rsidRDefault="00E06F93" w:rsidP="00E06F93"/>
    <w:tbl>
      <w:tblPr>
        <w:tblStyle w:val="TableGrid"/>
        <w:tblW w:w="944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48"/>
        <w:gridCol w:w="1012"/>
        <w:gridCol w:w="33"/>
        <w:gridCol w:w="1990"/>
        <w:gridCol w:w="5058"/>
      </w:tblGrid>
      <w:tr w:rsidR="00D56A09" w:rsidRPr="009827C2" w14:paraId="761D228A" w14:textId="77777777" w:rsidTr="00D56A09">
        <w:trPr>
          <w:trHeight w:val="483"/>
        </w:trPr>
        <w:tc>
          <w:tcPr>
            <w:tcW w:w="1348" w:type="dxa"/>
            <w:shd w:val="clear" w:color="auto" w:fill="EEECE1" w:themeFill="background2"/>
            <w:vAlign w:val="center"/>
          </w:tcPr>
          <w:p w14:paraId="22A20E87" w14:textId="77777777" w:rsidR="00D56A09" w:rsidRPr="009827C2" w:rsidRDefault="00D56A09" w:rsidP="002B7C5B">
            <w:pPr>
              <w:spacing w:before="120" w:after="120"/>
              <w:rPr>
                <w:b/>
                <w:bCs/>
                <w:color w:val="000000" w:themeColor="text1"/>
              </w:rPr>
            </w:pPr>
            <w:r w:rsidRPr="009827C2">
              <w:rPr>
                <w:b/>
                <w:bCs/>
                <w:color w:val="000000" w:themeColor="text1"/>
              </w:rPr>
              <w:t>Version</w:t>
            </w:r>
          </w:p>
        </w:tc>
        <w:tc>
          <w:tcPr>
            <w:tcW w:w="1012" w:type="dxa"/>
            <w:shd w:val="clear" w:color="auto" w:fill="EEECE1" w:themeFill="background2"/>
            <w:vAlign w:val="center"/>
          </w:tcPr>
          <w:p w14:paraId="3E1426B0" w14:textId="77777777" w:rsidR="00D56A09" w:rsidRPr="009827C2" w:rsidRDefault="00D56A09" w:rsidP="002B7C5B">
            <w:pPr>
              <w:spacing w:before="120" w:after="120"/>
              <w:rPr>
                <w:b/>
                <w:bCs/>
                <w:color w:val="000000" w:themeColor="text1"/>
              </w:rPr>
            </w:pPr>
            <w:r w:rsidRPr="009827C2">
              <w:rPr>
                <w:b/>
                <w:bCs/>
                <w:color w:val="000000" w:themeColor="text1"/>
              </w:rPr>
              <w:t>Date</w:t>
            </w:r>
          </w:p>
        </w:tc>
        <w:tc>
          <w:tcPr>
            <w:tcW w:w="2023" w:type="dxa"/>
            <w:gridSpan w:val="2"/>
            <w:shd w:val="clear" w:color="auto" w:fill="EEECE1" w:themeFill="background2"/>
            <w:vAlign w:val="center"/>
          </w:tcPr>
          <w:p w14:paraId="261CF904" w14:textId="77777777" w:rsidR="00D56A09" w:rsidRPr="009827C2" w:rsidRDefault="00D56A09" w:rsidP="002B7C5B">
            <w:pPr>
              <w:spacing w:before="120" w:after="120"/>
              <w:rPr>
                <w:b/>
                <w:bCs/>
                <w:color w:val="000000" w:themeColor="text1"/>
              </w:rPr>
            </w:pPr>
            <w:r w:rsidRPr="009827C2">
              <w:rPr>
                <w:b/>
                <w:bCs/>
                <w:color w:val="000000" w:themeColor="text1"/>
              </w:rPr>
              <w:t>Approved by</w:t>
            </w:r>
          </w:p>
        </w:tc>
        <w:tc>
          <w:tcPr>
            <w:tcW w:w="5058" w:type="dxa"/>
            <w:shd w:val="clear" w:color="auto" w:fill="EEECE1" w:themeFill="background2"/>
          </w:tcPr>
          <w:p w14:paraId="05A716AA" w14:textId="77777777" w:rsidR="00D56A09" w:rsidRPr="009827C2" w:rsidRDefault="00D56A09" w:rsidP="002B7C5B">
            <w:pPr>
              <w:spacing w:before="120" w:after="120"/>
              <w:ind w:right="-2374"/>
              <w:rPr>
                <w:b/>
                <w:bCs/>
                <w:color w:val="000000" w:themeColor="text1"/>
              </w:rPr>
            </w:pPr>
            <w:r w:rsidRPr="009827C2">
              <w:rPr>
                <w:b/>
                <w:bCs/>
                <w:color w:val="000000" w:themeColor="text1"/>
              </w:rPr>
              <w:t xml:space="preserve">       Status</w:t>
            </w:r>
          </w:p>
        </w:tc>
      </w:tr>
      <w:tr w:rsidR="00D56A09" w:rsidRPr="009827C2" w14:paraId="75D39DEC" w14:textId="77777777" w:rsidTr="00D56A09">
        <w:trPr>
          <w:trHeight w:val="619"/>
        </w:trPr>
        <w:tc>
          <w:tcPr>
            <w:tcW w:w="1348" w:type="dxa"/>
          </w:tcPr>
          <w:p w14:paraId="56C2FD78" w14:textId="77777777" w:rsidR="00D56A09" w:rsidRPr="00D56A09" w:rsidRDefault="00D56A09" w:rsidP="002B7C5B">
            <w:pPr>
              <w:spacing w:before="120" w:after="120"/>
              <w:rPr>
                <w:color w:val="000000" w:themeColor="text1"/>
              </w:rPr>
            </w:pPr>
            <w:r w:rsidRPr="00D56A09">
              <w:rPr>
                <w:color w:val="000000" w:themeColor="text1"/>
              </w:rPr>
              <w:t>V1.0</w:t>
            </w:r>
          </w:p>
        </w:tc>
        <w:tc>
          <w:tcPr>
            <w:tcW w:w="1045" w:type="dxa"/>
            <w:gridSpan w:val="2"/>
          </w:tcPr>
          <w:p w14:paraId="1182CFD2" w14:textId="6E3AF97F" w:rsidR="00D56A09" w:rsidRPr="00D56A09" w:rsidRDefault="00D56A09" w:rsidP="002B7C5B">
            <w:pPr>
              <w:spacing w:before="120" w:after="120"/>
              <w:rPr>
                <w:color w:val="000000" w:themeColor="text1"/>
              </w:rPr>
            </w:pPr>
            <w:r>
              <w:rPr>
                <w:color w:val="000000" w:themeColor="text1"/>
              </w:rPr>
              <w:t>28 March 2023</w:t>
            </w:r>
          </w:p>
        </w:tc>
        <w:tc>
          <w:tcPr>
            <w:tcW w:w="1989" w:type="dxa"/>
          </w:tcPr>
          <w:p w14:paraId="626B5BFE" w14:textId="49229F5F" w:rsidR="00D56A09" w:rsidRPr="00D56A09" w:rsidRDefault="00D56A09" w:rsidP="002B7C5B">
            <w:pPr>
              <w:spacing w:before="120" w:after="120"/>
              <w:rPr>
                <w:color w:val="000000" w:themeColor="text1"/>
              </w:rPr>
            </w:pPr>
            <w:r>
              <w:rPr>
                <w:color w:val="000000" w:themeColor="text1"/>
              </w:rPr>
              <w:t>ICB Board</w:t>
            </w:r>
          </w:p>
        </w:tc>
        <w:tc>
          <w:tcPr>
            <w:tcW w:w="5058" w:type="dxa"/>
          </w:tcPr>
          <w:p w14:paraId="79275ACF" w14:textId="77777777" w:rsidR="00D56A09" w:rsidRPr="00D56A09" w:rsidRDefault="00D56A09" w:rsidP="002B7C5B">
            <w:pPr>
              <w:spacing w:before="120" w:after="120"/>
              <w:rPr>
                <w:color w:val="000000" w:themeColor="text1"/>
              </w:rPr>
            </w:pPr>
            <w:r w:rsidRPr="00D56A09">
              <w:rPr>
                <w:color w:val="000000" w:themeColor="text1"/>
              </w:rPr>
              <w:t xml:space="preserve">First Issue </w:t>
            </w:r>
          </w:p>
        </w:tc>
      </w:tr>
      <w:tr w:rsidR="00D56A09" w:rsidRPr="009827C2" w14:paraId="667E8710" w14:textId="77777777" w:rsidTr="00D56A09">
        <w:trPr>
          <w:trHeight w:val="619"/>
        </w:trPr>
        <w:tc>
          <w:tcPr>
            <w:tcW w:w="1348" w:type="dxa"/>
          </w:tcPr>
          <w:p w14:paraId="525E6822" w14:textId="0747F688" w:rsidR="00D56A09" w:rsidRPr="009827C2" w:rsidRDefault="00D56A09" w:rsidP="002B7C5B">
            <w:pPr>
              <w:spacing w:before="120" w:after="120"/>
              <w:rPr>
                <w:color w:val="000000" w:themeColor="text1"/>
              </w:rPr>
            </w:pPr>
            <w:r>
              <w:rPr>
                <w:color w:val="000000" w:themeColor="text1"/>
              </w:rPr>
              <w:lastRenderedPageBreak/>
              <w:t>V2.0</w:t>
            </w:r>
          </w:p>
        </w:tc>
        <w:tc>
          <w:tcPr>
            <w:tcW w:w="1045" w:type="dxa"/>
            <w:gridSpan w:val="2"/>
          </w:tcPr>
          <w:p w14:paraId="0ACDD4DE" w14:textId="0221BAEE" w:rsidR="00D56A09" w:rsidRPr="009827C2" w:rsidRDefault="00D56A09" w:rsidP="002B7C5B">
            <w:pPr>
              <w:spacing w:before="120" w:after="120"/>
              <w:rPr>
                <w:color w:val="000000" w:themeColor="text1"/>
              </w:rPr>
            </w:pPr>
            <w:r>
              <w:rPr>
                <w:color w:val="000000" w:themeColor="text1"/>
              </w:rPr>
              <w:t>10 September 2024</w:t>
            </w:r>
          </w:p>
        </w:tc>
        <w:tc>
          <w:tcPr>
            <w:tcW w:w="1989" w:type="dxa"/>
          </w:tcPr>
          <w:p w14:paraId="156C0D6F" w14:textId="6009CF80" w:rsidR="00D56A09" w:rsidRPr="009827C2" w:rsidRDefault="00D56A09" w:rsidP="002B7C5B">
            <w:pPr>
              <w:spacing w:before="120" w:after="120"/>
              <w:rPr>
                <w:color w:val="000000" w:themeColor="text1"/>
              </w:rPr>
            </w:pPr>
            <w:r>
              <w:rPr>
                <w:color w:val="000000" w:themeColor="text1"/>
              </w:rPr>
              <w:t>Executive Committee</w:t>
            </w:r>
          </w:p>
        </w:tc>
        <w:tc>
          <w:tcPr>
            <w:tcW w:w="5058" w:type="dxa"/>
          </w:tcPr>
          <w:p w14:paraId="1E2AAEBF" w14:textId="6EA4C83B" w:rsidR="00D56A09" w:rsidRPr="009827C2" w:rsidRDefault="00D56A09" w:rsidP="002B7C5B">
            <w:pPr>
              <w:spacing w:before="120" w:after="120"/>
              <w:rPr>
                <w:color w:val="000000" w:themeColor="text1"/>
              </w:rPr>
            </w:pPr>
            <w:r>
              <w:rPr>
                <w:color w:val="000000" w:themeColor="text1"/>
              </w:rPr>
              <w:t>Second Issue</w:t>
            </w:r>
          </w:p>
        </w:tc>
      </w:tr>
      <w:tr w:rsidR="00D56A09" w:rsidRPr="009827C2" w14:paraId="2A40F21F" w14:textId="77777777" w:rsidTr="00D56A09">
        <w:trPr>
          <w:trHeight w:val="619"/>
        </w:trPr>
        <w:tc>
          <w:tcPr>
            <w:tcW w:w="1348" w:type="dxa"/>
          </w:tcPr>
          <w:p w14:paraId="1F105B10" w14:textId="77777777" w:rsidR="00D56A09" w:rsidRPr="009827C2" w:rsidRDefault="00D56A09" w:rsidP="002B7C5B">
            <w:pPr>
              <w:spacing w:before="120" w:after="120"/>
              <w:rPr>
                <w:color w:val="000000" w:themeColor="text1"/>
              </w:rPr>
            </w:pPr>
          </w:p>
        </w:tc>
        <w:tc>
          <w:tcPr>
            <w:tcW w:w="1045" w:type="dxa"/>
            <w:gridSpan w:val="2"/>
          </w:tcPr>
          <w:p w14:paraId="51823E04" w14:textId="77777777" w:rsidR="00D56A09" w:rsidRPr="009827C2" w:rsidRDefault="00D56A09" w:rsidP="002B7C5B">
            <w:pPr>
              <w:spacing w:before="120" w:after="120"/>
              <w:rPr>
                <w:color w:val="000000" w:themeColor="text1"/>
              </w:rPr>
            </w:pPr>
          </w:p>
        </w:tc>
        <w:tc>
          <w:tcPr>
            <w:tcW w:w="1989" w:type="dxa"/>
          </w:tcPr>
          <w:p w14:paraId="0C920B0E" w14:textId="77777777" w:rsidR="00D56A09" w:rsidRPr="009827C2" w:rsidRDefault="00D56A09" w:rsidP="002B7C5B">
            <w:pPr>
              <w:spacing w:before="120" w:after="120"/>
              <w:rPr>
                <w:color w:val="000000" w:themeColor="text1"/>
              </w:rPr>
            </w:pPr>
          </w:p>
        </w:tc>
        <w:tc>
          <w:tcPr>
            <w:tcW w:w="5058" w:type="dxa"/>
          </w:tcPr>
          <w:p w14:paraId="06A2AFDA" w14:textId="77777777" w:rsidR="00D56A09" w:rsidRPr="009827C2" w:rsidRDefault="00D56A09" w:rsidP="002B7C5B">
            <w:pPr>
              <w:spacing w:before="120" w:after="120"/>
              <w:rPr>
                <w:color w:val="000000" w:themeColor="text1"/>
              </w:rPr>
            </w:pPr>
          </w:p>
        </w:tc>
      </w:tr>
    </w:tbl>
    <w:p w14:paraId="18956462" w14:textId="77777777" w:rsidR="00E06F93" w:rsidRPr="009827C2" w:rsidRDefault="00E06F93" w:rsidP="00E06F93"/>
    <w:p w14:paraId="3638C444" w14:textId="77777777" w:rsidR="00E06F93" w:rsidRPr="009827C2" w:rsidRDefault="00E06F93" w:rsidP="00E06F93">
      <w:pPr>
        <w:pStyle w:val="Heading1"/>
        <w:keepNext w:val="0"/>
        <w:keepLines w:val="0"/>
        <w:widowControl w:val="0"/>
        <w:spacing w:before="0" w:after="120"/>
        <w:ind w:left="567" w:hanging="567"/>
        <w:rPr>
          <w:rFonts w:cs="Arial"/>
          <w:sz w:val="24"/>
          <w:szCs w:val="24"/>
        </w:rPr>
      </w:pPr>
      <w:bookmarkStart w:id="41" w:name="_Toc129940303"/>
      <w:r w:rsidRPr="009827C2">
        <w:rPr>
          <w:rFonts w:cs="Arial"/>
          <w:sz w:val="24"/>
          <w:szCs w:val="24"/>
        </w:rPr>
        <w:t>Appendix 2: Review History</w:t>
      </w:r>
      <w:bookmarkEnd w:id="41"/>
    </w:p>
    <w:p w14:paraId="3ACE352D" w14:textId="77777777" w:rsidR="00E06F93" w:rsidRPr="009827C2" w:rsidRDefault="00E06F93" w:rsidP="00E06F93"/>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851"/>
        <w:gridCol w:w="1701"/>
        <w:gridCol w:w="1559"/>
        <w:gridCol w:w="4253"/>
      </w:tblGrid>
      <w:tr w:rsidR="00E06F93" w:rsidRPr="009827C2" w14:paraId="1EA41449" w14:textId="77777777" w:rsidTr="00D97F8B">
        <w:trPr>
          <w:trHeight w:val="463"/>
        </w:trPr>
        <w:tc>
          <w:tcPr>
            <w:tcW w:w="1134" w:type="dxa"/>
            <w:shd w:val="clear" w:color="auto" w:fill="EEECE1" w:themeFill="background2"/>
            <w:vAlign w:val="center"/>
          </w:tcPr>
          <w:p w14:paraId="13DADC56" w14:textId="77777777" w:rsidR="00E06F93" w:rsidRPr="009827C2" w:rsidRDefault="00E06F93" w:rsidP="002B7C5B">
            <w:pPr>
              <w:spacing w:before="120" w:after="120"/>
              <w:rPr>
                <w:b/>
                <w:bCs/>
                <w:color w:val="000000" w:themeColor="text1"/>
              </w:rPr>
            </w:pPr>
            <w:r w:rsidRPr="009827C2">
              <w:rPr>
                <w:b/>
                <w:bCs/>
                <w:color w:val="000000" w:themeColor="text1"/>
              </w:rPr>
              <w:t>Version</w:t>
            </w:r>
          </w:p>
        </w:tc>
        <w:tc>
          <w:tcPr>
            <w:tcW w:w="851" w:type="dxa"/>
            <w:shd w:val="clear" w:color="auto" w:fill="EEECE1" w:themeFill="background2"/>
            <w:vAlign w:val="center"/>
          </w:tcPr>
          <w:p w14:paraId="4E4392AD" w14:textId="77777777" w:rsidR="00E06F93" w:rsidRPr="009827C2" w:rsidRDefault="00E06F93" w:rsidP="002B7C5B">
            <w:pPr>
              <w:spacing w:before="120" w:after="120"/>
              <w:rPr>
                <w:b/>
                <w:bCs/>
                <w:color w:val="000000" w:themeColor="text1"/>
              </w:rPr>
            </w:pPr>
            <w:r w:rsidRPr="009827C2">
              <w:rPr>
                <w:b/>
                <w:bCs/>
                <w:color w:val="000000" w:themeColor="text1"/>
              </w:rPr>
              <w:t>Date</w:t>
            </w:r>
          </w:p>
        </w:tc>
        <w:tc>
          <w:tcPr>
            <w:tcW w:w="1701" w:type="dxa"/>
            <w:shd w:val="clear" w:color="auto" w:fill="EEECE1" w:themeFill="background2"/>
            <w:vAlign w:val="center"/>
          </w:tcPr>
          <w:p w14:paraId="115EE2F9" w14:textId="77777777" w:rsidR="00E06F93" w:rsidRPr="009827C2" w:rsidRDefault="00E06F93" w:rsidP="002B7C5B">
            <w:pPr>
              <w:spacing w:before="120" w:after="120"/>
              <w:rPr>
                <w:b/>
                <w:bCs/>
                <w:color w:val="000000" w:themeColor="text1"/>
              </w:rPr>
            </w:pPr>
            <w:r w:rsidRPr="009827C2">
              <w:rPr>
                <w:b/>
                <w:bCs/>
                <w:color w:val="000000" w:themeColor="text1"/>
              </w:rPr>
              <w:t>Reviewed by</w:t>
            </w:r>
          </w:p>
        </w:tc>
        <w:tc>
          <w:tcPr>
            <w:tcW w:w="1559" w:type="dxa"/>
            <w:shd w:val="clear" w:color="auto" w:fill="EEECE1" w:themeFill="background2"/>
          </w:tcPr>
          <w:p w14:paraId="0036220F" w14:textId="77777777" w:rsidR="00E06F93" w:rsidRPr="009827C2" w:rsidRDefault="00E06F93" w:rsidP="002B7C5B">
            <w:pPr>
              <w:spacing w:before="120" w:after="120"/>
              <w:rPr>
                <w:b/>
                <w:bCs/>
                <w:color w:val="000000" w:themeColor="text1"/>
              </w:rPr>
            </w:pPr>
            <w:r w:rsidRPr="009827C2">
              <w:rPr>
                <w:b/>
                <w:bCs/>
                <w:color w:val="000000" w:themeColor="text1"/>
              </w:rPr>
              <w:t>Changes Required Y/N?</w:t>
            </w:r>
          </w:p>
        </w:tc>
        <w:tc>
          <w:tcPr>
            <w:tcW w:w="4253" w:type="dxa"/>
            <w:shd w:val="clear" w:color="auto" w:fill="EEECE1" w:themeFill="background2"/>
          </w:tcPr>
          <w:p w14:paraId="37C54462" w14:textId="77777777" w:rsidR="00E06F93" w:rsidRPr="009827C2" w:rsidRDefault="00E06F93" w:rsidP="002B7C5B">
            <w:pPr>
              <w:spacing w:before="120" w:after="120"/>
              <w:ind w:right="-2374"/>
              <w:rPr>
                <w:b/>
                <w:bCs/>
                <w:color w:val="000000" w:themeColor="text1"/>
              </w:rPr>
            </w:pPr>
            <w:r w:rsidRPr="009827C2">
              <w:rPr>
                <w:b/>
                <w:bCs/>
                <w:color w:val="000000" w:themeColor="text1"/>
              </w:rPr>
              <w:t>Summary of changes</w:t>
            </w:r>
          </w:p>
          <w:p w14:paraId="25DD4084" w14:textId="77777777" w:rsidR="00E06F93" w:rsidRPr="009827C2" w:rsidRDefault="00E06F93" w:rsidP="002B7C5B">
            <w:pPr>
              <w:spacing w:before="120" w:after="120"/>
              <w:ind w:right="-2374"/>
              <w:rPr>
                <w:b/>
                <w:bCs/>
                <w:color w:val="000000" w:themeColor="text1"/>
              </w:rPr>
            </w:pPr>
            <w:r w:rsidRPr="009827C2">
              <w:rPr>
                <w:b/>
                <w:bCs/>
                <w:color w:val="000000" w:themeColor="text1"/>
              </w:rPr>
              <w:t>(</w:t>
            </w:r>
            <w:proofErr w:type="gramStart"/>
            <w:r w:rsidRPr="009827C2">
              <w:rPr>
                <w:b/>
                <w:bCs/>
                <w:color w:val="000000" w:themeColor="text1"/>
              </w:rPr>
              <w:t>once</w:t>
            </w:r>
            <w:proofErr w:type="gramEnd"/>
            <w:r w:rsidRPr="009827C2">
              <w:rPr>
                <w:b/>
                <w:bCs/>
                <w:color w:val="000000" w:themeColor="text1"/>
              </w:rPr>
              <w:t xml:space="preserve"> changes are approved</w:t>
            </w:r>
          </w:p>
          <w:p w14:paraId="3400D2CF" w14:textId="77777777" w:rsidR="00E06F93" w:rsidRPr="009827C2" w:rsidRDefault="00E06F93" w:rsidP="002B7C5B">
            <w:pPr>
              <w:spacing w:before="120" w:after="120"/>
              <w:ind w:right="-2374"/>
              <w:rPr>
                <w:b/>
                <w:bCs/>
                <w:color w:val="000000" w:themeColor="text1"/>
              </w:rPr>
            </w:pPr>
            <w:r w:rsidRPr="009827C2">
              <w:rPr>
                <w:b/>
                <w:bCs/>
                <w:color w:val="000000" w:themeColor="text1"/>
              </w:rPr>
              <w:t xml:space="preserve"> Appendix 1 should be updated)</w:t>
            </w:r>
          </w:p>
        </w:tc>
      </w:tr>
      <w:tr w:rsidR="00E06F93" w:rsidRPr="009827C2" w14:paraId="27F13F70" w14:textId="77777777" w:rsidTr="00D97F8B">
        <w:trPr>
          <w:trHeight w:val="594"/>
        </w:trPr>
        <w:tc>
          <w:tcPr>
            <w:tcW w:w="1134" w:type="dxa"/>
          </w:tcPr>
          <w:p w14:paraId="17AAFA21" w14:textId="3A34A0EE" w:rsidR="00E06F93" w:rsidRPr="00D56A09" w:rsidRDefault="00733E15" w:rsidP="002B7C5B">
            <w:pPr>
              <w:spacing w:before="120" w:after="120"/>
              <w:rPr>
                <w:color w:val="000000" w:themeColor="text1"/>
              </w:rPr>
            </w:pPr>
            <w:r w:rsidRPr="00D56A09">
              <w:rPr>
                <w:color w:val="000000" w:themeColor="text1"/>
              </w:rPr>
              <w:t>V2</w:t>
            </w:r>
          </w:p>
        </w:tc>
        <w:tc>
          <w:tcPr>
            <w:tcW w:w="851" w:type="dxa"/>
          </w:tcPr>
          <w:p w14:paraId="154A9404" w14:textId="3E21266E" w:rsidR="00E06F93" w:rsidRPr="00D56A09" w:rsidRDefault="00662337" w:rsidP="002B7C5B">
            <w:pPr>
              <w:spacing w:before="120" w:after="120"/>
              <w:rPr>
                <w:color w:val="000000" w:themeColor="text1"/>
              </w:rPr>
            </w:pPr>
            <w:r>
              <w:rPr>
                <w:color w:val="000000" w:themeColor="text1"/>
              </w:rPr>
              <w:t>September 2025</w:t>
            </w:r>
          </w:p>
        </w:tc>
        <w:tc>
          <w:tcPr>
            <w:tcW w:w="1701" w:type="dxa"/>
          </w:tcPr>
          <w:p w14:paraId="691D10A1" w14:textId="6B6BF6DC" w:rsidR="00E06F93" w:rsidRPr="00D56A09" w:rsidRDefault="00662337" w:rsidP="002B7C5B">
            <w:pPr>
              <w:spacing w:before="120" w:after="120"/>
              <w:rPr>
                <w:color w:val="000000" w:themeColor="text1"/>
              </w:rPr>
            </w:pPr>
            <w:r>
              <w:rPr>
                <w:color w:val="000000" w:themeColor="text1"/>
              </w:rPr>
              <w:t>PSRC</w:t>
            </w:r>
          </w:p>
        </w:tc>
        <w:tc>
          <w:tcPr>
            <w:tcW w:w="1559" w:type="dxa"/>
          </w:tcPr>
          <w:p w14:paraId="1B13CCA7" w14:textId="04C6A645" w:rsidR="00E06F93" w:rsidRPr="00D56A09" w:rsidRDefault="00D56A09" w:rsidP="002B7C5B">
            <w:pPr>
              <w:spacing w:before="120" w:after="120"/>
              <w:rPr>
                <w:color w:val="000000" w:themeColor="text1"/>
              </w:rPr>
            </w:pPr>
            <w:r w:rsidRPr="00D56A09">
              <w:rPr>
                <w:color w:val="000000" w:themeColor="text1"/>
              </w:rPr>
              <w:t>Y</w:t>
            </w:r>
          </w:p>
        </w:tc>
        <w:tc>
          <w:tcPr>
            <w:tcW w:w="4253" w:type="dxa"/>
          </w:tcPr>
          <w:p w14:paraId="619EE62D" w14:textId="4E455FB8" w:rsidR="00E06F93" w:rsidRPr="00D56A09" w:rsidRDefault="00D56A09" w:rsidP="002B7C5B">
            <w:pPr>
              <w:spacing w:before="120" w:after="120"/>
              <w:rPr>
                <w:color w:val="000000" w:themeColor="text1"/>
              </w:rPr>
            </w:pPr>
            <w:r w:rsidRPr="00D56A09">
              <w:rPr>
                <w:color w:val="000000" w:themeColor="text1"/>
              </w:rPr>
              <w:t>Minor amends to reflect ICB 2.0 changes in membership</w:t>
            </w:r>
          </w:p>
        </w:tc>
      </w:tr>
      <w:tr w:rsidR="00E06F93" w:rsidRPr="009827C2" w14:paraId="25405765" w14:textId="77777777" w:rsidTr="00D97F8B">
        <w:trPr>
          <w:trHeight w:val="594"/>
        </w:trPr>
        <w:tc>
          <w:tcPr>
            <w:tcW w:w="1134" w:type="dxa"/>
          </w:tcPr>
          <w:p w14:paraId="6D1B8586" w14:textId="77777777" w:rsidR="00E06F93" w:rsidRPr="009827C2" w:rsidRDefault="00E06F93" w:rsidP="002B7C5B">
            <w:pPr>
              <w:spacing w:before="120" w:after="120"/>
              <w:rPr>
                <w:color w:val="000000" w:themeColor="text1"/>
              </w:rPr>
            </w:pPr>
          </w:p>
        </w:tc>
        <w:tc>
          <w:tcPr>
            <w:tcW w:w="851" w:type="dxa"/>
          </w:tcPr>
          <w:p w14:paraId="53DE5DB7" w14:textId="77777777" w:rsidR="00E06F93" w:rsidRPr="009827C2" w:rsidRDefault="00E06F93" w:rsidP="002B7C5B">
            <w:pPr>
              <w:spacing w:before="120" w:after="120"/>
              <w:rPr>
                <w:color w:val="000000" w:themeColor="text1"/>
              </w:rPr>
            </w:pPr>
          </w:p>
        </w:tc>
        <w:tc>
          <w:tcPr>
            <w:tcW w:w="1701" w:type="dxa"/>
          </w:tcPr>
          <w:p w14:paraId="14BE0F06" w14:textId="77777777" w:rsidR="00E06F93" w:rsidRPr="009827C2" w:rsidRDefault="00E06F93" w:rsidP="002B7C5B">
            <w:pPr>
              <w:spacing w:before="120" w:after="120"/>
              <w:rPr>
                <w:color w:val="000000" w:themeColor="text1"/>
              </w:rPr>
            </w:pPr>
          </w:p>
        </w:tc>
        <w:tc>
          <w:tcPr>
            <w:tcW w:w="1559" w:type="dxa"/>
          </w:tcPr>
          <w:p w14:paraId="5A530EFA" w14:textId="77777777" w:rsidR="00E06F93" w:rsidRPr="009827C2" w:rsidRDefault="00E06F93" w:rsidP="002B7C5B">
            <w:pPr>
              <w:spacing w:before="120" w:after="120"/>
              <w:ind w:left="294" w:hanging="294"/>
              <w:rPr>
                <w:color w:val="000000" w:themeColor="text1"/>
              </w:rPr>
            </w:pPr>
          </w:p>
        </w:tc>
        <w:tc>
          <w:tcPr>
            <w:tcW w:w="4253" w:type="dxa"/>
          </w:tcPr>
          <w:p w14:paraId="3F7276B2" w14:textId="77777777" w:rsidR="00E06F93" w:rsidRPr="009827C2" w:rsidRDefault="00E06F93" w:rsidP="002B7C5B">
            <w:pPr>
              <w:spacing w:before="120" w:after="120"/>
              <w:rPr>
                <w:color w:val="000000" w:themeColor="text1"/>
              </w:rPr>
            </w:pPr>
          </w:p>
        </w:tc>
      </w:tr>
      <w:tr w:rsidR="00E06F93" w:rsidRPr="009827C2" w14:paraId="009B5C34" w14:textId="77777777" w:rsidTr="00D97F8B">
        <w:trPr>
          <w:trHeight w:val="594"/>
        </w:trPr>
        <w:tc>
          <w:tcPr>
            <w:tcW w:w="1134" w:type="dxa"/>
          </w:tcPr>
          <w:p w14:paraId="3065712B" w14:textId="77777777" w:rsidR="00E06F93" w:rsidRPr="009827C2" w:rsidRDefault="00E06F93" w:rsidP="002B7C5B">
            <w:pPr>
              <w:spacing w:before="120" w:after="120"/>
              <w:rPr>
                <w:color w:val="000000" w:themeColor="text1"/>
              </w:rPr>
            </w:pPr>
          </w:p>
        </w:tc>
        <w:tc>
          <w:tcPr>
            <w:tcW w:w="851" w:type="dxa"/>
          </w:tcPr>
          <w:p w14:paraId="3EB3504B" w14:textId="77777777" w:rsidR="00E06F93" w:rsidRPr="009827C2" w:rsidRDefault="00E06F93" w:rsidP="002B7C5B">
            <w:pPr>
              <w:spacing w:before="120" w:after="120"/>
              <w:rPr>
                <w:color w:val="000000" w:themeColor="text1"/>
              </w:rPr>
            </w:pPr>
          </w:p>
        </w:tc>
        <w:tc>
          <w:tcPr>
            <w:tcW w:w="1701" w:type="dxa"/>
          </w:tcPr>
          <w:p w14:paraId="001C26A4" w14:textId="77777777" w:rsidR="00E06F93" w:rsidRPr="009827C2" w:rsidRDefault="00E06F93" w:rsidP="002B7C5B">
            <w:pPr>
              <w:spacing w:before="120" w:after="120"/>
              <w:rPr>
                <w:color w:val="000000" w:themeColor="text1"/>
              </w:rPr>
            </w:pPr>
          </w:p>
        </w:tc>
        <w:tc>
          <w:tcPr>
            <w:tcW w:w="1559" w:type="dxa"/>
          </w:tcPr>
          <w:p w14:paraId="53030970" w14:textId="77777777" w:rsidR="00E06F93" w:rsidRPr="009827C2" w:rsidRDefault="00E06F93" w:rsidP="002B7C5B">
            <w:pPr>
              <w:spacing w:before="120" w:after="120"/>
              <w:rPr>
                <w:color w:val="000000" w:themeColor="text1"/>
              </w:rPr>
            </w:pPr>
          </w:p>
        </w:tc>
        <w:tc>
          <w:tcPr>
            <w:tcW w:w="4253" w:type="dxa"/>
          </w:tcPr>
          <w:p w14:paraId="368DFFCE" w14:textId="77777777" w:rsidR="00E06F93" w:rsidRPr="009827C2" w:rsidRDefault="00E06F93" w:rsidP="002B7C5B">
            <w:pPr>
              <w:spacing w:before="120" w:after="120"/>
              <w:rPr>
                <w:color w:val="000000" w:themeColor="text1"/>
              </w:rPr>
            </w:pPr>
          </w:p>
        </w:tc>
      </w:tr>
    </w:tbl>
    <w:p w14:paraId="632CEC9D" w14:textId="77777777" w:rsidR="00E06F93" w:rsidRPr="009827C2" w:rsidRDefault="00E06F93" w:rsidP="00E06F93"/>
    <w:p w14:paraId="4D7E25F1" w14:textId="77777777" w:rsidR="00E06F93" w:rsidRPr="009827C2" w:rsidRDefault="00E06F93" w:rsidP="00E06F93"/>
    <w:p w14:paraId="7B826ADC" w14:textId="432AB548" w:rsidR="00E06F93" w:rsidRPr="009827C2" w:rsidRDefault="00E06F93" w:rsidP="00E06F93">
      <w:pPr>
        <w:rPr>
          <w:color w:val="000000" w:themeColor="text1"/>
        </w:rPr>
      </w:pPr>
      <w:r w:rsidRPr="009827C2">
        <w:rPr>
          <w:b/>
          <w:bCs/>
          <w:color w:val="000000" w:themeColor="text1"/>
        </w:rPr>
        <w:t>Review date:</w:t>
      </w:r>
      <w:r w:rsidRPr="009827C2">
        <w:rPr>
          <w:color w:val="000000" w:themeColor="text1"/>
        </w:rPr>
        <w:t xml:space="preserve"> </w:t>
      </w:r>
      <w:r w:rsidR="00D56A09">
        <w:rPr>
          <w:color w:val="000000" w:themeColor="text1"/>
        </w:rPr>
        <w:t>September 2025</w:t>
      </w:r>
    </w:p>
    <w:p w14:paraId="554A71BB" w14:textId="4398D32C" w:rsidR="00E06F93" w:rsidRPr="009827C2" w:rsidRDefault="00E06F93" w:rsidP="00E06F93">
      <w:pPr>
        <w:rPr>
          <w:color w:val="000000" w:themeColor="text1"/>
        </w:rPr>
      </w:pPr>
      <w:r w:rsidRPr="009827C2">
        <w:rPr>
          <w:b/>
          <w:bCs/>
          <w:color w:val="000000" w:themeColor="text1"/>
        </w:rPr>
        <w:t>Contact:</w:t>
      </w:r>
      <w:r w:rsidRPr="009827C2">
        <w:rPr>
          <w:color w:val="000000" w:themeColor="text1"/>
        </w:rPr>
        <w:t xml:space="preserve"> [</w:t>
      </w:r>
      <w:r w:rsidR="00D56A09">
        <w:rPr>
          <w:color w:val="000000" w:themeColor="text1"/>
        </w:rPr>
        <w:t>J Lawson, Head of Corporate Governance</w:t>
      </w:r>
      <w:r w:rsidRPr="009827C2">
        <w:rPr>
          <w:color w:val="000000" w:themeColor="text1"/>
        </w:rPr>
        <w:t>]</w:t>
      </w:r>
    </w:p>
    <w:p w14:paraId="23F9FDDC" w14:textId="77777777" w:rsidR="00E06F93" w:rsidRPr="009827C2" w:rsidRDefault="00E06F93" w:rsidP="00E06F93">
      <w:pPr>
        <w:rPr>
          <w:color w:val="000000" w:themeColor="text1"/>
        </w:rPr>
      </w:pPr>
    </w:p>
    <w:p w14:paraId="488C9C1D" w14:textId="77777777" w:rsidR="00E06F93" w:rsidRPr="009827C2" w:rsidRDefault="00E06F93" w:rsidP="00E06F93">
      <w:pPr>
        <w:rPr>
          <w:color w:val="000000" w:themeColor="text1"/>
        </w:rPr>
      </w:pPr>
      <w:r w:rsidRPr="009827C2">
        <w:rPr>
          <w:b/>
          <w:bCs/>
        </w:rPr>
        <w:t>Document control</w:t>
      </w:r>
    </w:p>
    <w:p w14:paraId="554DF168" w14:textId="77777777" w:rsidR="00E06F93" w:rsidRPr="009827C2" w:rsidRDefault="00E06F93" w:rsidP="00E06F93">
      <w:r w:rsidRPr="009827C2">
        <w:t xml:space="preserve">The controlled copy of this document is maintained by the governance team in the Governance Handbook, here </w:t>
      </w:r>
      <w:hyperlink r:id="rId14" w:history="1">
        <w:r w:rsidRPr="009827C2">
          <w:rPr>
            <w:rStyle w:val="Hyperlink"/>
          </w:rPr>
          <w:t>https://northeastnorthcumbria.nhs.uk/about-us/corporate-information/governance/</w:t>
        </w:r>
      </w:hyperlink>
    </w:p>
    <w:p w14:paraId="2A32F9B3" w14:textId="77777777" w:rsidR="00E06F93" w:rsidRPr="009827C2" w:rsidRDefault="00E06F93" w:rsidP="00E06F93"/>
    <w:p w14:paraId="59961E14" w14:textId="23BE4514" w:rsidR="002D41AF" w:rsidRDefault="00E06F93" w:rsidP="00A836C1">
      <w:r w:rsidRPr="009827C2">
        <w:t>Any copies of this document held outside of the Governance Handbook, in whatever format (e.g., paper, email attachment), are considered to have passed out of control and should be checked for currency and validity.</w:t>
      </w:r>
    </w:p>
    <w:p w14:paraId="0D3AE51E" w14:textId="77777777" w:rsidR="002B7254" w:rsidRPr="009827C2" w:rsidRDefault="002B7254" w:rsidP="00E06F93">
      <w:pPr>
        <w:spacing w:after="200" w:line="276" w:lineRule="auto"/>
      </w:pPr>
    </w:p>
    <w:p w14:paraId="5B47EFB9" w14:textId="77777777" w:rsidR="002B7254" w:rsidRPr="009827C2" w:rsidRDefault="002B7254" w:rsidP="00E06F93">
      <w:pPr>
        <w:spacing w:after="200" w:line="276" w:lineRule="auto"/>
      </w:pPr>
    </w:p>
    <w:tbl>
      <w:tblPr>
        <w:tblW w:w="8100" w:type="dxa"/>
        <w:tblInd w:w="972" w:type="dxa"/>
        <w:tblBorders>
          <w:top w:val="single" w:sz="4" w:space="0" w:color="1C6CB4"/>
          <w:left w:val="single" w:sz="4" w:space="0" w:color="1C6CB4"/>
          <w:bottom w:val="single" w:sz="4" w:space="0" w:color="1C6CB4"/>
          <w:right w:val="single" w:sz="4" w:space="0" w:color="1C6CB4"/>
          <w:insideH w:val="single" w:sz="4" w:space="0" w:color="1C6CB4"/>
          <w:insideV w:val="single" w:sz="4" w:space="0" w:color="1C6CB4"/>
        </w:tblBorders>
        <w:tblLayout w:type="fixed"/>
        <w:tblCellMar>
          <w:left w:w="0" w:type="dxa"/>
          <w:right w:w="0" w:type="dxa"/>
        </w:tblCellMar>
        <w:tblLook w:val="01E0" w:firstRow="1" w:lastRow="1" w:firstColumn="1" w:lastColumn="1" w:noHBand="0" w:noVBand="0"/>
      </w:tblPr>
      <w:tblGrid>
        <w:gridCol w:w="21"/>
        <w:gridCol w:w="6095"/>
        <w:gridCol w:w="1984"/>
      </w:tblGrid>
      <w:tr w:rsidR="002B7254" w:rsidRPr="009827C2" w14:paraId="7E85297D" w14:textId="77777777" w:rsidTr="002B7254">
        <w:trPr>
          <w:trHeight w:val="551"/>
        </w:trPr>
        <w:tc>
          <w:tcPr>
            <w:tcW w:w="6116" w:type="dxa"/>
            <w:gridSpan w:val="2"/>
            <w:tcBorders>
              <w:top w:val="nil"/>
              <w:left w:val="nil"/>
              <w:bottom w:val="nil"/>
              <w:right w:val="nil"/>
            </w:tcBorders>
            <w:shd w:val="clear" w:color="auto" w:fill="EEECE1" w:themeFill="background2"/>
          </w:tcPr>
          <w:p w14:paraId="09594FC7" w14:textId="186314C0" w:rsidR="002B7254" w:rsidRPr="009827C2" w:rsidRDefault="00C43E88" w:rsidP="004F4BBD">
            <w:pPr>
              <w:widowControl w:val="0"/>
              <w:autoSpaceDE w:val="0"/>
              <w:autoSpaceDN w:val="0"/>
              <w:ind w:left="196"/>
              <w:rPr>
                <w:rFonts w:eastAsia="Arial"/>
                <w:b/>
                <w:lang w:eastAsia="en-GB" w:bidi="en-GB"/>
              </w:rPr>
            </w:pPr>
            <w:r>
              <w:rPr>
                <w:rFonts w:eastAsia="Arial"/>
                <w:b/>
                <w:lang w:eastAsia="en-GB" w:bidi="en-GB"/>
              </w:rPr>
              <w:t>R</w:t>
            </w:r>
            <w:r w:rsidR="002B7254" w:rsidRPr="009827C2">
              <w:rPr>
                <w:rFonts w:eastAsia="Arial"/>
                <w:b/>
                <w:lang w:eastAsia="en-GB" w:bidi="en-GB"/>
              </w:rPr>
              <w:t>egulatory provision</w:t>
            </w:r>
          </w:p>
        </w:tc>
        <w:tc>
          <w:tcPr>
            <w:tcW w:w="1984" w:type="dxa"/>
            <w:tcBorders>
              <w:top w:val="nil"/>
              <w:left w:val="nil"/>
              <w:bottom w:val="nil"/>
              <w:right w:val="nil"/>
            </w:tcBorders>
            <w:shd w:val="clear" w:color="auto" w:fill="EEECE1" w:themeFill="background2"/>
          </w:tcPr>
          <w:p w14:paraId="4256298F" w14:textId="77777777" w:rsidR="002B7254" w:rsidRPr="009827C2" w:rsidRDefault="002B7254" w:rsidP="004F4BBD">
            <w:pPr>
              <w:widowControl w:val="0"/>
              <w:autoSpaceDE w:val="0"/>
              <w:autoSpaceDN w:val="0"/>
              <w:spacing w:line="270" w:lineRule="atLeast"/>
              <w:ind w:left="157" w:right="304"/>
              <w:rPr>
                <w:rFonts w:eastAsia="Arial"/>
                <w:b/>
                <w:lang w:eastAsia="en-GB" w:bidi="en-GB"/>
              </w:rPr>
            </w:pPr>
            <w:r w:rsidRPr="009827C2">
              <w:rPr>
                <w:rFonts w:eastAsia="Arial"/>
                <w:b/>
                <w:lang w:eastAsia="en-GB" w:bidi="en-GB"/>
              </w:rPr>
              <w:t>Decision- maker</w:t>
            </w:r>
          </w:p>
        </w:tc>
      </w:tr>
      <w:tr w:rsidR="002B7254" w:rsidRPr="009827C2" w14:paraId="2B2AE25E" w14:textId="77777777" w:rsidTr="004F4BBD">
        <w:trPr>
          <w:trHeight w:val="568"/>
        </w:trPr>
        <w:tc>
          <w:tcPr>
            <w:tcW w:w="6116" w:type="dxa"/>
            <w:gridSpan w:val="2"/>
            <w:tcBorders>
              <w:top w:val="nil"/>
            </w:tcBorders>
          </w:tcPr>
          <w:p w14:paraId="559598BE" w14:textId="77777777" w:rsidR="002B7254" w:rsidRPr="009827C2" w:rsidRDefault="002B7254" w:rsidP="004F4BBD">
            <w:pPr>
              <w:widowControl w:val="0"/>
              <w:autoSpaceDE w:val="0"/>
              <w:autoSpaceDN w:val="0"/>
              <w:spacing w:line="270" w:lineRule="atLeast"/>
              <w:ind w:left="196" w:right="1049"/>
              <w:rPr>
                <w:rFonts w:eastAsia="Arial"/>
                <w:lang w:eastAsia="en-GB" w:bidi="en-GB"/>
              </w:rPr>
            </w:pPr>
            <w:r w:rsidRPr="009827C2">
              <w:rPr>
                <w:rFonts w:eastAsia="Arial"/>
                <w:color w:val="221F1F"/>
                <w:lang w:eastAsia="en-GB" w:bidi="en-GB"/>
              </w:rPr>
              <w:t>Regulations 13, 14 and 21A – determination of application (current need)</w:t>
            </w:r>
          </w:p>
        </w:tc>
        <w:tc>
          <w:tcPr>
            <w:tcW w:w="1984" w:type="dxa"/>
            <w:tcBorders>
              <w:top w:val="nil"/>
            </w:tcBorders>
          </w:tcPr>
          <w:p w14:paraId="6711A66F"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Subcommittee</w:t>
            </w:r>
          </w:p>
        </w:tc>
      </w:tr>
      <w:tr w:rsidR="002B7254" w:rsidRPr="009827C2" w14:paraId="5DDB2FEA" w14:textId="77777777" w:rsidTr="004F4BBD">
        <w:trPr>
          <w:trHeight w:val="554"/>
        </w:trPr>
        <w:tc>
          <w:tcPr>
            <w:tcW w:w="6116" w:type="dxa"/>
            <w:gridSpan w:val="2"/>
          </w:tcPr>
          <w:p w14:paraId="273AF529" w14:textId="77777777" w:rsidR="002B7254" w:rsidRPr="009827C2" w:rsidRDefault="002B7254" w:rsidP="004F4BBD">
            <w:pPr>
              <w:widowControl w:val="0"/>
              <w:autoSpaceDE w:val="0"/>
              <w:autoSpaceDN w:val="0"/>
              <w:spacing w:before="1" w:line="270" w:lineRule="atLeast"/>
              <w:ind w:left="196" w:right="1049"/>
              <w:rPr>
                <w:rFonts w:eastAsia="Arial"/>
                <w:lang w:eastAsia="en-GB" w:bidi="en-GB"/>
              </w:rPr>
            </w:pPr>
            <w:r w:rsidRPr="009827C2">
              <w:rPr>
                <w:rFonts w:eastAsia="Arial"/>
                <w:color w:val="221F1F"/>
                <w:lang w:eastAsia="en-GB" w:bidi="en-GB"/>
              </w:rPr>
              <w:t>Regulations 15, 16 and 21A – determination of application (future need)</w:t>
            </w:r>
          </w:p>
        </w:tc>
        <w:tc>
          <w:tcPr>
            <w:tcW w:w="1984" w:type="dxa"/>
          </w:tcPr>
          <w:p w14:paraId="1BDBE48A" w14:textId="77777777" w:rsidR="002B7254" w:rsidRPr="009827C2" w:rsidRDefault="002B7254" w:rsidP="004F4BBD">
            <w:pPr>
              <w:widowControl w:val="0"/>
              <w:autoSpaceDE w:val="0"/>
              <w:autoSpaceDN w:val="0"/>
              <w:spacing w:before="1"/>
              <w:ind w:left="157"/>
              <w:rPr>
                <w:rFonts w:eastAsia="Arial"/>
                <w:lang w:eastAsia="en-GB" w:bidi="en-GB"/>
              </w:rPr>
            </w:pPr>
            <w:r w:rsidRPr="009827C2">
              <w:rPr>
                <w:rFonts w:eastAsia="Arial"/>
                <w:color w:val="221F1F"/>
                <w:lang w:eastAsia="en-GB" w:bidi="en-GB"/>
              </w:rPr>
              <w:t>Subcommittee</w:t>
            </w:r>
          </w:p>
        </w:tc>
      </w:tr>
      <w:tr w:rsidR="002B7254" w:rsidRPr="009827C2" w14:paraId="7243583C" w14:textId="77777777" w:rsidTr="004F4BBD">
        <w:trPr>
          <w:trHeight w:val="551"/>
        </w:trPr>
        <w:tc>
          <w:tcPr>
            <w:tcW w:w="6116" w:type="dxa"/>
            <w:gridSpan w:val="2"/>
          </w:tcPr>
          <w:p w14:paraId="3CC9FD2C" w14:textId="77777777" w:rsidR="002B7254" w:rsidRPr="009827C2" w:rsidRDefault="002B7254" w:rsidP="004F4BBD">
            <w:pPr>
              <w:widowControl w:val="0"/>
              <w:autoSpaceDE w:val="0"/>
              <w:autoSpaceDN w:val="0"/>
              <w:spacing w:line="270" w:lineRule="atLeast"/>
              <w:ind w:left="196" w:right="931"/>
              <w:rPr>
                <w:rFonts w:eastAsia="Arial"/>
                <w:lang w:eastAsia="en-GB" w:bidi="en-GB"/>
              </w:rPr>
            </w:pPr>
            <w:r w:rsidRPr="009827C2">
              <w:rPr>
                <w:rFonts w:eastAsia="Arial"/>
                <w:color w:val="221F1F"/>
                <w:lang w:eastAsia="en-GB" w:bidi="en-GB"/>
              </w:rPr>
              <w:t>Regulations 17, 19 and 21A – determination of application (current improvement/better access)</w:t>
            </w:r>
          </w:p>
        </w:tc>
        <w:tc>
          <w:tcPr>
            <w:tcW w:w="1984" w:type="dxa"/>
          </w:tcPr>
          <w:p w14:paraId="2C0260AB"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Subcommittee</w:t>
            </w:r>
          </w:p>
        </w:tc>
      </w:tr>
      <w:tr w:rsidR="002B7254" w:rsidRPr="009827C2" w14:paraId="11AFD89D" w14:textId="77777777" w:rsidTr="004F4BBD">
        <w:trPr>
          <w:trHeight w:val="551"/>
        </w:trPr>
        <w:tc>
          <w:tcPr>
            <w:tcW w:w="6116" w:type="dxa"/>
            <w:gridSpan w:val="2"/>
          </w:tcPr>
          <w:p w14:paraId="1C9CE704" w14:textId="77777777" w:rsidR="002B7254" w:rsidRPr="009827C2" w:rsidRDefault="002B7254" w:rsidP="004F4BBD">
            <w:pPr>
              <w:widowControl w:val="0"/>
              <w:autoSpaceDE w:val="0"/>
              <w:autoSpaceDN w:val="0"/>
              <w:spacing w:line="270" w:lineRule="atLeast"/>
              <w:ind w:left="196" w:right="396"/>
              <w:rPr>
                <w:rFonts w:eastAsia="Arial"/>
                <w:lang w:eastAsia="en-GB" w:bidi="en-GB"/>
              </w:rPr>
            </w:pPr>
            <w:r w:rsidRPr="009827C2">
              <w:rPr>
                <w:rFonts w:eastAsia="Arial"/>
                <w:color w:val="221F1F"/>
                <w:lang w:eastAsia="en-GB" w:bidi="en-GB"/>
              </w:rPr>
              <w:lastRenderedPageBreak/>
              <w:t>Regulations 18 and 19 – determination of application (unforeseen benefits)</w:t>
            </w:r>
          </w:p>
        </w:tc>
        <w:tc>
          <w:tcPr>
            <w:tcW w:w="1984" w:type="dxa"/>
          </w:tcPr>
          <w:p w14:paraId="4A57499D"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Subcommittee</w:t>
            </w:r>
          </w:p>
        </w:tc>
      </w:tr>
      <w:tr w:rsidR="002B7254" w:rsidRPr="009827C2" w14:paraId="4A104516" w14:textId="77777777" w:rsidTr="004F4BBD">
        <w:trPr>
          <w:trHeight w:val="550"/>
        </w:trPr>
        <w:tc>
          <w:tcPr>
            <w:tcW w:w="6116" w:type="dxa"/>
            <w:gridSpan w:val="2"/>
          </w:tcPr>
          <w:p w14:paraId="2215CAF1" w14:textId="77777777" w:rsidR="002B7254" w:rsidRPr="009827C2" w:rsidRDefault="002B7254" w:rsidP="004F4BBD">
            <w:pPr>
              <w:widowControl w:val="0"/>
              <w:autoSpaceDE w:val="0"/>
              <w:autoSpaceDN w:val="0"/>
              <w:spacing w:before="6" w:line="274" w:lineRule="exact"/>
              <w:ind w:left="196" w:right="1049"/>
              <w:rPr>
                <w:rFonts w:eastAsia="Arial"/>
                <w:lang w:eastAsia="en-GB" w:bidi="en-GB"/>
              </w:rPr>
            </w:pPr>
            <w:r w:rsidRPr="009827C2">
              <w:rPr>
                <w:rFonts w:eastAsia="Arial"/>
                <w:color w:val="221F1F"/>
                <w:lang w:eastAsia="en-GB" w:bidi="en-GB"/>
              </w:rPr>
              <w:t>Regulations 20, 21 and 21A – determination of application (future improvement/better access)</w:t>
            </w:r>
          </w:p>
        </w:tc>
        <w:tc>
          <w:tcPr>
            <w:tcW w:w="1984" w:type="dxa"/>
          </w:tcPr>
          <w:p w14:paraId="3917331A"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Subcommittee</w:t>
            </w:r>
          </w:p>
        </w:tc>
      </w:tr>
      <w:tr w:rsidR="002B7254" w:rsidRPr="009827C2" w14:paraId="24CD9FDC" w14:textId="77777777" w:rsidTr="004F4BBD">
        <w:trPr>
          <w:trHeight w:val="833"/>
        </w:trPr>
        <w:tc>
          <w:tcPr>
            <w:tcW w:w="6116" w:type="dxa"/>
            <w:gridSpan w:val="2"/>
          </w:tcPr>
          <w:p w14:paraId="6D373242" w14:textId="77777777" w:rsidR="002B7254" w:rsidRPr="009827C2" w:rsidRDefault="002B7254" w:rsidP="004F4BBD">
            <w:pPr>
              <w:widowControl w:val="0"/>
              <w:autoSpaceDE w:val="0"/>
              <w:autoSpaceDN w:val="0"/>
              <w:spacing w:before="2" w:line="276" w:lineRule="exact"/>
              <w:ind w:left="196" w:right="22"/>
              <w:rPr>
                <w:rFonts w:eastAsia="Arial"/>
                <w:lang w:eastAsia="en-GB" w:bidi="en-GB"/>
              </w:rPr>
            </w:pPr>
            <w:r w:rsidRPr="009827C2">
              <w:rPr>
                <w:rFonts w:eastAsia="Arial"/>
                <w:color w:val="221F1F"/>
                <w:lang w:eastAsia="en-GB" w:bidi="en-GB"/>
              </w:rPr>
              <w:t>Regulation 23 – determination of application (application from NHS chemist in respect of providing directed services)</w:t>
            </w:r>
          </w:p>
        </w:tc>
        <w:tc>
          <w:tcPr>
            <w:tcW w:w="1984" w:type="dxa"/>
          </w:tcPr>
          <w:p w14:paraId="799002F0" w14:textId="77777777" w:rsidR="002B7254" w:rsidRPr="009827C2" w:rsidRDefault="002B7254" w:rsidP="004F4BBD">
            <w:pPr>
              <w:widowControl w:val="0"/>
              <w:autoSpaceDE w:val="0"/>
              <w:autoSpaceDN w:val="0"/>
              <w:spacing w:line="274" w:lineRule="exact"/>
              <w:ind w:left="157"/>
              <w:rPr>
                <w:rFonts w:eastAsia="Arial"/>
                <w:lang w:eastAsia="en-GB" w:bidi="en-GB"/>
              </w:rPr>
            </w:pPr>
            <w:r w:rsidRPr="009827C2">
              <w:rPr>
                <w:rFonts w:eastAsia="Arial"/>
                <w:color w:val="221F1F"/>
                <w:lang w:eastAsia="en-GB" w:bidi="en-GB"/>
              </w:rPr>
              <w:t>Subcommittee</w:t>
            </w:r>
          </w:p>
        </w:tc>
      </w:tr>
      <w:tr w:rsidR="002B7254" w:rsidRPr="009827C2" w14:paraId="10B8ED00" w14:textId="77777777" w:rsidTr="004F4BBD">
        <w:trPr>
          <w:trHeight w:val="567"/>
        </w:trPr>
        <w:tc>
          <w:tcPr>
            <w:tcW w:w="6116" w:type="dxa"/>
            <w:gridSpan w:val="2"/>
          </w:tcPr>
          <w:p w14:paraId="7F7A7955" w14:textId="77777777" w:rsidR="002B7254" w:rsidRPr="009827C2" w:rsidRDefault="002B7254" w:rsidP="004F4BBD">
            <w:pPr>
              <w:widowControl w:val="0"/>
              <w:autoSpaceDE w:val="0"/>
              <w:autoSpaceDN w:val="0"/>
              <w:spacing w:before="1" w:line="270" w:lineRule="atLeast"/>
              <w:ind w:left="196" w:right="129"/>
              <w:rPr>
                <w:rFonts w:eastAsia="Arial"/>
                <w:lang w:eastAsia="en-GB" w:bidi="en-GB"/>
              </w:rPr>
            </w:pPr>
            <w:r w:rsidRPr="009827C2">
              <w:rPr>
                <w:rFonts w:eastAsia="Arial"/>
                <w:color w:val="221F1F"/>
                <w:lang w:eastAsia="en-GB" w:bidi="en-GB"/>
              </w:rPr>
              <w:t>Regulation 24 – determination of application (relocation involving no significant change)</w:t>
            </w:r>
          </w:p>
        </w:tc>
        <w:tc>
          <w:tcPr>
            <w:tcW w:w="1984" w:type="dxa"/>
          </w:tcPr>
          <w:p w14:paraId="188DBDD9" w14:textId="77777777" w:rsidR="002B7254" w:rsidRPr="009827C2" w:rsidRDefault="002B7254" w:rsidP="004F4BBD">
            <w:pPr>
              <w:widowControl w:val="0"/>
              <w:autoSpaceDE w:val="0"/>
              <w:autoSpaceDN w:val="0"/>
              <w:spacing w:before="1"/>
              <w:ind w:left="157"/>
              <w:rPr>
                <w:rFonts w:eastAsia="Arial"/>
                <w:lang w:eastAsia="en-GB" w:bidi="en-GB"/>
              </w:rPr>
            </w:pPr>
            <w:r w:rsidRPr="009827C2">
              <w:rPr>
                <w:rFonts w:eastAsia="Arial"/>
                <w:color w:val="221F1F"/>
                <w:lang w:eastAsia="en-GB" w:bidi="en-GB"/>
              </w:rPr>
              <w:t>Subcommittee</w:t>
            </w:r>
          </w:p>
        </w:tc>
      </w:tr>
      <w:tr w:rsidR="002B7254" w:rsidRPr="009827C2" w14:paraId="046D39C7" w14:textId="77777777" w:rsidTr="004F4BBD">
        <w:trPr>
          <w:trHeight w:val="563"/>
        </w:trPr>
        <w:tc>
          <w:tcPr>
            <w:tcW w:w="6116" w:type="dxa"/>
            <w:gridSpan w:val="2"/>
          </w:tcPr>
          <w:p w14:paraId="2168D133" w14:textId="77777777" w:rsidR="002B7254" w:rsidRPr="009827C2" w:rsidRDefault="002B7254" w:rsidP="004F4BBD">
            <w:pPr>
              <w:widowControl w:val="0"/>
              <w:autoSpaceDE w:val="0"/>
              <w:autoSpaceDN w:val="0"/>
              <w:spacing w:before="1" w:line="270" w:lineRule="atLeast"/>
              <w:ind w:left="196" w:right="22"/>
              <w:rPr>
                <w:rFonts w:eastAsia="Arial"/>
                <w:lang w:eastAsia="en-GB" w:bidi="en-GB"/>
              </w:rPr>
            </w:pPr>
            <w:r w:rsidRPr="009827C2">
              <w:rPr>
                <w:rFonts w:eastAsia="Arial"/>
                <w:color w:val="221F1F"/>
                <w:lang w:eastAsia="en-GB" w:bidi="en-GB"/>
              </w:rPr>
              <w:t>Regulation 25 – determination of application (distance selling pharmacies)</w:t>
            </w:r>
          </w:p>
        </w:tc>
        <w:tc>
          <w:tcPr>
            <w:tcW w:w="1984" w:type="dxa"/>
          </w:tcPr>
          <w:p w14:paraId="4D2E4DD8" w14:textId="77777777" w:rsidR="002B7254" w:rsidRPr="009827C2" w:rsidRDefault="002B7254" w:rsidP="004F4BBD">
            <w:pPr>
              <w:widowControl w:val="0"/>
              <w:autoSpaceDE w:val="0"/>
              <w:autoSpaceDN w:val="0"/>
              <w:spacing w:before="1"/>
              <w:ind w:left="157"/>
              <w:rPr>
                <w:rFonts w:eastAsia="Arial"/>
                <w:lang w:eastAsia="en-GB" w:bidi="en-GB"/>
              </w:rPr>
            </w:pPr>
            <w:r w:rsidRPr="009827C2">
              <w:rPr>
                <w:rFonts w:eastAsia="Arial"/>
                <w:color w:val="221F1F"/>
                <w:lang w:eastAsia="en-GB" w:bidi="en-GB"/>
              </w:rPr>
              <w:t>Subcommittee</w:t>
            </w:r>
          </w:p>
        </w:tc>
      </w:tr>
      <w:tr w:rsidR="002B7254" w:rsidRPr="009827C2" w14:paraId="07A15136" w14:textId="77777777" w:rsidTr="004F4BBD">
        <w:trPr>
          <w:trHeight w:val="555"/>
        </w:trPr>
        <w:tc>
          <w:tcPr>
            <w:tcW w:w="6116" w:type="dxa"/>
            <w:gridSpan w:val="2"/>
          </w:tcPr>
          <w:p w14:paraId="6D4E46C1" w14:textId="77777777" w:rsidR="002B7254" w:rsidRPr="009827C2" w:rsidRDefault="002B7254" w:rsidP="004F4BBD">
            <w:pPr>
              <w:widowControl w:val="0"/>
              <w:autoSpaceDE w:val="0"/>
              <w:autoSpaceDN w:val="0"/>
              <w:spacing w:line="270" w:lineRule="atLeast"/>
              <w:ind w:left="196" w:right="89"/>
              <w:rPr>
                <w:rFonts w:eastAsia="Arial"/>
                <w:lang w:eastAsia="en-GB" w:bidi="en-GB"/>
              </w:rPr>
            </w:pPr>
            <w:r w:rsidRPr="009827C2">
              <w:rPr>
                <w:rFonts w:eastAsia="Arial"/>
                <w:color w:val="221F1F"/>
                <w:lang w:eastAsia="en-GB" w:bidi="en-GB"/>
              </w:rPr>
              <w:t>Regulation 26(1) – determination of application (change of ownership)</w:t>
            </w:r>
          </w:p>
        </w:tc>
        <w:tc>
          <w:tcPr>
            <w:tcW w:w="1984" w:type="dxa"/>
          </w:tcPr>
          <w:p w14:paraId="6EFD548B" w14:textId="77777777" w:rsidR="002B7254" w:rsidRPr="009827C2" w:rsidRDefault="002B7254" w:rsidP="004F4BBD">
            <w:pPr>
              <w:widowControl w:val="0"/>
              <w:autoSpaceDE w:val="0"/>
              <w:autoSpaceDN w:val="0"/>
              <w:spacing w:line="270" w:lineRule="atLeast"/>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2D9FE4B6" w14:textId="77777777" w:rsidTr="004F4BBD">
        <w:trPr>
          <w:trHeight w:val="828"/>
        </w:trPr>
        <w:tc>
          <w:tcPr>
            <w:tcW w:w="6116" w:type="dxa"/>
            <w:gridSpan w:val="2"/>
          </w:tcPr>
          <w:p w14:paraId="52B529B5" w14:textId="77777777" w:rsidR="002B7254" w:rsidRPr="009827C2" w:rsidRDefault="002B7254" w:rsidP="004F4BBD">
            <w:pPr>
              <w:widowControl w:val="0"/>
              <w:autoSpaceDE w:val="0"/>
              <w:autoSpaceDN w:val="0"/>
              <w:spacing w:before="1" w:line="270" w:lineRule="atLeast"/>
              <w:ind w:left="196" w:right="396"/>
              <w:rPr>
                <w:rFonts w:eastAsia="Arial"/>
                <w:lang w:eastAsia="en-GB" w:bidi="en-GB"/>
              </w:rPr>
            </w:pPr>
            <w:r w:rsidRPr="009827C2">
              <w:rPr>
                <w:rFonts w:eastAsia="Arial"/>
                <w:color w:val="221F1F"/>
                <w:lang w:eastAsia="en-GB" w:bidi="en-GB"/>
              </w:rPr>
              <w:t>Regulation 26(2) – determination of application (relocation involving no significant change/change of ownership)</w:t>
            </w:r>
          </w:p>
        </w:tc>
        <w:tc>
          <w:tcPr>
            <w:tcW w:w="1984" w:type="dxa"/>
          </w:tcPr>
          <w:p w14:paraId="0B0DDB3A" w14:textId="77777777" w:rsidR="002B7254" w:rsidRPr="009827C2" w:rsidRDefault="002B7254" w:rsidP="004F4BBD">
            <w:pPr>
              <w:widowControl w:val="0"/>
              <w:autoSpaceDE w:val="0"/>
              <w:autoSpaceDN w:val="0"/>
              <w:spacing w:before="1"/>
              <w:ind w:left="157"/>
              <w:rPr>
                <w:rFonts w:eastAsia="Arial"/>
                <w:lang w:eastAsia="en-GB" w:bidi="en-GB"/>
              </w:rPr>
            </w:pPr>
            <w:r w:rsidRPr="009827C2">
              <w:rPr>
                <w:rFonts w:eastAsia="Arial"/>
                <w:color w:val="221F1F"/>
                <w:lang w:eastAsia="en-GB" w:bidi="en-GB"/>
              </w:rPr>
              <w:t>Subcommittee</w:t>
            </w:r>
          </w:p>
        </w:tc>
      </w:tr>
      <w:tr w:rsidR="002B7254" w:rsidRPr="009827C2" w14:paraId="6FF0552F" w14:textId="77777777" w:rsidTr="004F4BBD">
        <w:trPr>
          <w:trHeight w:val="860"/>
        </w:trPr>
        <w:tc>
          <w:tcPr>
            <w:tcW w:w="6116" w:type="dxa"/>
            <w:gridSpan w:val="2"/>
          </w:tcPr>
          <w:p w14:paraId="6A15ED23" w14:textId="77777777" w:rsidR="002B7254" w:rsidRPr="009827C2" w:rsidRDefault="002B7254" w:rsidP="004F4BBD">
            <w:pPr>
              <w:widowControl w:val="0"/>
              <w:autoSpaceDE w:val="0"/>
              <w:autoSpaceDN w:val="0"/>
              <w:ind w:left="196" w:right="263"/>
              <w:rPr>
                <w:rFonts w:eastAsia="Arial"/>
                <w:lang w:eastAsia="en-GB" w:bidi="en-GB"/>
              </w:rPr>
            </w:pPr>
            <w:r w:rsidRPr="009827C2">
              <w:rPr>
                <w:rFonts w:eastAsia="Arial"/>
                <w:color w:val="221F1F"/>
                <w:lang w:eastAsia="en-GB" w:bidi="en-GB"/>
              </w:rPr>
              <w:t>Regulation 26A – determination of preliminary matters including refusal of application for reasons set out in Regulation 26A(5)(b)</w:t>
            </w:r>
          </w:p>
        </w:tc>
        <w:tc>
          <w:tcPr>
            <w:tcW w:w="1984" w:type="dxa"/>
          </w:tcPr>
          <w:p w14:paraId="66373B71"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Officer</w:t>
            </w:r>
          </w:p>
        </w:tc>
      </w:tr>
      <w:tr w:rsidR="002B7254" w:rsidRPr="009827C2" w14:paraId="7C05D247" w14:textId="77777777" w:rsidTr="004F4BBD">
        <w:trPr>
          <w:trHeight w:val="551"/>
        </w:trPr>
        <w:tc>
          <w:tcPr>
            <w:tcW w:w="6116" w:type="dxa"/>
            <w:gridSpan w:val="2"/>
          </w:tcPr>
          <w:p w14:paraId="7200E4EE" w14:textId="77777777" w:rsidR="002B7254" w:rsidRPr="009827C2" w:rsidRDefault="002B7254" w:rsidP="004F4BBD">
            <w:pPr>
              <w:widowControl w:val="0"/>
              <w:autoSpaceDE w:val="0"/>
              <w:autoSpaceDN w:val="0"/>
              <w:spacing w:line="270" w:lineRule="atLeast"/>
              <w:ind w:left="196" w:right="1156"/>
              <w:rPr>
                <w:rFonts w:eastAsia="Arial"/>
                <w:lang w:eastAsia="en-GB" w:bidi="en-GB"/>
              </w:rPr>
            </w:pPr>
            <w:r w:rsidRPr="009827C2">
              <w:rPr>
                <w:rFonts w:eastAsia="Arial"/>
                <w:color w:val="221F1F"/>
                <w:lang w:eastAsia="en-GB" w:bidi="en-GB"/>
              </w:rPr>
              <w:t>Regulation 26A – determination of application (consolidation onto an existing site)</w:t>
            </w:r>
          </w:p>
        </w:tc>
        <w:tc>
          <w:tcPr>
            <w:tcW w:w="1984" w:type="dxa"/>
          </w:tcPr>
          <w:p w14:paraId="275B7E37"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Subcommittee</w:t>
            </w:r>
          </w:p>
        </w:tc>
      </w:tr>
      <w:tr w:rsidR="002B7254" w:rsidRPr="009827C2" w14:paraId="07C4617B" w14:textId="77777777" w:rsidTr="004F4BBD">
        <w:trPr>
          <w:trHeight w:val="551"/>
        </w:trPr>
        <w:tc>
          <w:tcPr>
            <w:tcW w:w="6116" w:type="dxa"/>
            <w:gridSpan w:val="2"/>
          </w:tcPr>
          <w:p w14:paraId="0660E6E2" w14:textId="77777777" w:rsidR="002B7254" w:rsidRPr="009827C2" w:rsidRDefault="002B7254" w:rsidP="004F4BBD">
            <w:pPr>
              <w:widowControl w:val="0"/>
              <w:autoSpaceDE w:val="0"/>
              <w:autoSpaceDN w:val="0"/>
              <w:spacing w:line="270" w:lineRule="atLeast"/>
              <w:ind w:left="196" w:right="890"/>
              <w:rPr>
                <w:rFonts w:eastAsia="Arial"/>
                <w:lang w:eastAsia="en-GB" w:bidi="en-GB"/>
              </w:rPr>
            </w:pPr>
            <w:r w:rsidRPr="009827C2">
              <w:rPr>
                <w:rFonts w:eastAsia="Arial"/>
                <w:color w:val="221F1F"/>
                <w:lang w:eastAsia="en-GB" w:bidi="en-GB"/>
              </w:rPr>
              <w:t>Regulation 27 – determination of application (for temporary listing arising out of suspension)</w:t>
            </w:r>
          </w:p>
        </w:tc>
        <w:tc>
          <w:tcPr>
            <w:tcW w:w="1984" w:type="dxa"/>
          </w:tcPr>
          <w:p w14:paraId="4E860D98"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Subcommittee</w:t>
            </w:r>
          </w:p>
        </w:tc>
      </w:tr>
      <w:tr w:rsidR="002B7254" w:rsidRPr="009827C2" w14:paraId="183EB9F8" w14:textId="77777777" w:rsidTr="004F4BBD">
        <w:trPr>
          <w:trHeight w:val="560"/>
        </w:trPr>
        <w:tc>
          <w:tcPr>
            <w:tcW w:w="6116" w:type="dxa"/>
            <w:gridSpan w:val="2"/>
          </w:tcPr>
          <w:p w14:paraId="13DC5652" w14:textId="77777777" w:rsidR="002B7254" w:rsidRPr="009827C2" w:rsidRDefault="002B7254" w:rsidP="004F4BBD">
            <w:pPr>
              <w:widowControl w:val="0"/>
              <w:autoSpaceDE w:val="0"/>
              <w:autoSpaceDN w:val="0"/>
              <w:spacing w:line="270" w:lineRule="atLeast"/>
              <w:ind w:left="196" w:right="89"/>
              <w:rPr>
                <w:rFonts w:eastAsia="Arial"/>
                <w:lang w:eastAsia="en-GB" w:bidi="en-GB"/>
              </w:rPr>
            </w:pPr>
            <w:r w:rsidRPr="009827C2">
              <w:rPr>
                <w:rFonts w:eastAsia="Arial"/>
                <w:color w:val="221F1F"/>
                <w:lang w:eastAsia="en-GB" w:bidi="en-GB"/>
              </w:rPr>
              <w:t>Regulation 28 – determination of application (exercising right of return to the pharmaceutical list)</w:t>
            </w:r>
          </w:p>
        </w:tc>
        <w:tc>
          <w:tcPr>
            <w:tcW w:w="1984" w:type="dxa"/>
          </w:tcPr>
          <w:p w14:paraId="06E848D5" w14:textId="77777777" w:rsidR="002B7254" w:rsidRPr="009827C2" w:rsidRDefault="002B7254" w:rsidP="004F4BBD">
            <w:pPr>
              <w:widowControl w:val="0"/>
              <w:autoSpaceDE w:val="0"/>
              <w:autoSpaceDN w:val="0"/>
              <w:spacing w:line="270" w:lineRule="atLeast"/>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0A661107" w14:textId="77777777" w:rsidTr="004F4BBD">
        <w:trPr>
          <w:trHeight w:val="838"/>
        </w:trPr>
        <w:tc>
          <w:tcPr>
            <w:tcW w:w="6116" w:type="dxa"/>
            <w:gridSpan w:val="2"/>
          </w:tcPr>
          <w:p w14:paraId="3971277A" w14:textId="77777777" w:rsidR="002B7254" w:rsidRPr="009827C2" w:rsidRDefault="002B7254" w:rsidP="004F4BBD">
            <w:pPr>
              <w:widowControl w:val="0"/>
              <w:autoSpaceDE w:val="0"/>
              <w:autoSpaceDN w:val="0"/>
              <w:spacing w:before="1"/>
              <w:ind w:left="196" w:right="89"/>
              <w:rPr>
                <w:rFonts w:eastAsia="Arial"/>
                <w:lang w:eastAsia="en-GB" w:bidi="en-GB"/>
              </w:rPr>
            </w:pPr>
            <w:r w:rsidRPr="009827C2">
              <w:rPr>
                <w:rFonts w:eastAsia="Arial"/>
                <w:color w:val="221F1F"/>
                <w:lang w:eastAsia="en-GB" w:bidi="en-GB"/>
              </w:rPr>
              <w:t>Regulation 29 – determination of application (temporary arrangements during emergencies/because of</w:t>
            </w:r>
          </w:p>
          <w:p w14:paraId="450438A1" w14:textId="77777777" w:rsidR="002B7254" w:rsidRPr="009827C2" w:rsidRDefault="002B7254" w:rsidP="004F4BBD">
            <w:pPr>
              <w:widowControl w:val="0"/>
              <w:autoSpaceDE w:val="0"/>
              <w:autoSpaceDN w:val="0"/>
              <w:spacing w:line="265" w:lineRule="exact"/>
              <w:ind w:left="196"/>
              <w:rPr>
                <w:rFonts w:eastAsia="Arial"/>
                <w:lang w:eastAsia="en-GB" w:bidi="en-GB"/>
              </w:rPr>
            </w:pPr>
            <w:r w:rsidRPr="009827C2">
              <w:rPr>
                <w:rFonts w:eastAsia="Arial"/>
                <w:color w:val="221F1F"/>
                <w:lang w:eastAsia="en-GB" w:bidi="en-GB"/>
              </w:rPr>
              <w:t>circumstances beyond the control of NHS chemists)</w:t>
            </w:r>
          </w:p>
        </w:tc>
        <w:tc>
          <w:tcPr>
            <w:tcW w:w="1984" w:type="dxa"/>
          </w:tcPr>
          <w:p w14:paraId="4DFD5300" w14:textId="77777777" w:rsidR="002B7254" w:rsidRPr="009827C2" w:rsidRDefault="002B7254" w:rsidP="004F4BBD">
            <w:pPr>
              <w:widowControl w:val="0"/>
              <w:autoSpaceDE w:val="0"/>
              <w:autoSpaceDN w:val="0"/>
              <w:spacing w:before="1"/>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486BE399" w14:textId="77777777" w:rsidTr="004F4BBD">
        <w:trPr>
          <w:trHeight w:val="552"/>
        </w:trPr>
        <w:tc>
          <w:tcPr>
            <w:tcW w:w="6116" w:type="dxa"/>
            <w:gridSpan w:val="2"/>
          </w:tcPr>
          <w:p w14:paraId="08A7EDD9" w14:textId="77777777" w:rsidR="002B7254" w:rsidRPr="009827C2" w:rsidRDefault="002B7254" w:rsidP="004F4BBD">
            <w:pPr>
              <w:widowControl w:val="0"/>
              <w:autoSpaceDE w:val="0"/>
              <w:autoSpaceDN w:val="0"/>
              <w:spacing w:line="270" w:lineRule="atLeast"/>
              <w:ind w:left="196" w:right="449"/>
              <w:rPr>
                <w:rFonts w:eastAsia="Arial"/>
                <w:color w:val="221F1F"/>
                <w:lang w:eastAsia="en-GB" w:bidi="en-GB"/>
              </w:rPr>
            </w:pPr>
            <w:r w:rsidRPr="009827C2">
              <w:rPr>
                <w:rFonts w:eastAsia="Arial"/>
                <w:color w:val="221F1F"/>
                <w:lang w:eastAsia="en-GB" w:bidi="en-GB"/>
              </w:rPr>
              <w:t>Regulation 30 – refusal on language requirement for some NHS pharmacists</w:t>
            </w:r>
          </w:p>
        </w:tc>
        <w:tc>
          <w:tcPr>
            <w:tcW w:w="1984" w:type="dxa"/>
          </w:tcPr>
          <w:p w14:paraId="2D5C4911" w14:textId="77777777" w:rsidR="002B7254" w:rsidRPr="009827C2" w:rsidRDefault="002B7254" w:rsidP="004F4BBD">
            <w:pPr>
              <w:widowControl w:val="0"/>
              <w:autoSpaceDE w:val="0"/>
              <w:autoSpaceDN w:val="0"/>
              <w:spacing w:line="270" w:lineRule="atLeast"/>
              <w:ind w:left="157" w:right="214"/>
              <w:rPr>
                <w:rFonts w:eastAsia="Arial"/>
                <w:lang w:eastAsia="en-GB" w:bidi="en-GB"/>
              </w:rPr>
            </w:pPr>
            <w:r w:rsidRPr="009827C2">
              <w:rPr>
                <w:rFonts w:eastAsia="Arial"/>
                <w:color w:val="221F1F"/>
                <w:lang w:eastAsia="en-GB" w:bidi="en-GB"/>
              </w:rPr>
              <w:t>Subcommittee or Performers List Decision Panel (PLDP)</w:t>
            </w:r>
          </w:p>
        </w:tc>
      </w:tr>
      <w:tr w:rsidR="002B7254" w:rsidRPr="009827C2" w14:paraId="2DACEEC1" w14:textId="77777777" w:rsidTr="002B7254">
        <w:trPr>
          <w:trHeight w:val="561"/>
        </w:trPr>
        <w:tc>
          <w:tcPr>
            <w:tcW w:w="6116" w:type="dxa"/>
            <w:gridSpan w:val="2"/>
            <w:tcBorders>
              <w:top w:val="nil"/>
              <w:left w:val="nil"/>
              <w:bottom w:val="nil"/>
              <w:right w:val="nil"/>
            </w:tcBorders>
            <w:shd w:val="clear" w:color="auto" w:fill="EEECE1" w:themeFill="background2"/>
          </w:tcPr>
          <w:p w14:paraId="6E0736ED" w14:textId="77777777" w:rsidR="002B7254" w:rsidRPr="009827C2" w:rsidRDefault="002B7254" w:rsidP="004F4BBD">
            <w:pPr>
              <w:widowControl w:val="0"/>
              <w:autoSpaceDE w:val="0"/>
              <w:autoSpaceDN w:val="0"/>
              <w:ind w:left="196"/>
              <w:rPr>
                <w:rFonts w:eastAsia="Arial"/>
                <w:b/>
                <w:lang w:eastAsia="en-GB" w:bidi="en-GB"/>
              </w:rPr>
            </w:pPr>
            <w:r w:rsidRPr="009827C2">
              <w:rPr>
                <w:rFonts w:eastAsia="Arial"/>
                <w:b/>
                <w:lang w:eastAsia="en-GB" w:bidi="en-GB"/>
              </w:rPr>
              <w:t>Regulatory provision</w:t>
            </w:r>
          </w:p>
        </w:tc>
        <w:tc>
          <w:tcPr>
            <w:tcW w:w="1984" w:type="dxa"/>
            <w:tcBorders>
              <w:top w:val="nil"/>
              <w:left w:val="nil"/>
              <w:bottom w:val="nil"/>
              <w:right w:val="nil"/>
            </w:tcBorders>
            <w:shd w:val="clear" w:color="auto" w:fill="EEECE1" w:themeFill="background2"/>
          </w:tcPr>
          <w:p w14:paraId="25D313D7" w14:textId="77777777" w:rsidR="002B7254" w:rsidRPr="009827C2" w:rsidRDefault="002B7254" w:rsidP="004F4BBD">
            <w:pPr>
              <w:widowControl w:val="0"/>
              <w:autoSpaceDE w:val="0"/>
              <w:autoSpaceDN w:val="0"/>
              <w:spacing w:line="270" w:lineRule="atLeast"/>
              <w:ind w:left="157" w:right="304"/>
              <w:rPr>
                <w:rFonts w:eastAsia="Arial"/>
                <w:b/>
                <w:lang w:eastAsia="en-GB" w:bidi="en-GB"/>
              </w:rPr>
            </w:pPr>
            <w:r w:rsidRPr="009827C2">
              <w:rPr>
                <w:rFonts w:eastAsia="Arial"/>
                <w:b/>
                <w:lang w:eastAsia="en-GB" w:bidi="en-GB"/>
              </w:rPr>
              <w:t>Decision- maker</w:t>
            </w:r>
          </w:p>
        </w:tc>
      </w:tr>
      <w:tr w:rsidR="002B7254" w:rsidRPr="009827C2" w14:paraId="23F68CC1" w14:textId="77777777" w:rsidTr="004F4BBD">
        <w:trPr>
          <w:trHeight w:val="551"/>
        </w:trPr>
        <w:tc>
          <w:tcPr>
            <w:tcW w:w="6116" w:type="dxa"/>
            <w:gridSpan w:val="2"/>
            <w:tcBorders>
              <w:top w:val="nil"/>
            </w:tcBorders>
          </w:tcPr>
          <w:p w14:paraId="5E503F2C" w14:textId="77777777" w:rsidR="002B7254" w:rsidRPr="009827C2" w:rsidRDefault="002B7254" w:rsidP="004F4BBD">
            <w:pPr>
              <w:widowControl w:val="0"/>
              <w:autoSpaceDE w:val="0"/>
              <w:autoSpaceDN w:val="0"/>
              <w:ind w:left="196"/>
              <w:rPr>
                <w:rFonts w:eastAsia="Arial"/>
                <w:lang w:eastAsia="en-GB" w:bidi="en-GB"/>
              </w:rPr>
            </w:pPr>
            <w:r w:rsidRPr="009827C2">
              <w:rPr>
                <w:rFonts w:eastAsia="Arial"/>
                <w:color w:val="221F1F"/>
                <w:lang w:eastAsia="en-GB" w:bidi="en-GB"/>
              </w:rPr>
              <w:t>Regulation 31 – refusal: same or adjacent premises</w:t>
            </w:r>
          </w:p>
        </w:tc>
        <w:tc>
          <w:tcPr>
            <w:tcW w:w="1984" w:type="dxa"/>
            <w:tcBorders>
              <w:top w:val="nil"/>
            </w:tcBorders>
          </w:tcPr>
          <w:p w14:paraId="47946BC0"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Subcommittee</w:t>
            </w:r>
          </w:p>
        </w:tc>
      </w:tr>
      <w:tr w:rsidR="002B7254" w:rsidRPr="009827C2" w14:paraId="76AFE2DF" w14:textId="77777777" w:rsidTr="004F4BBD">
        <w:trPr>
          <w:trHeight w:val="559"/>
        </w:trPr>
        <w:tc>
          <w:tcPr>
            <w:tcW w:w="6116" w:type="dxa"/>
            <w:gridSpan w:val="2"/>
          </w:tcPr>
          <w:p w14:paraId="44828016" w14:textId="77777777" w:rsidR="002B7254" w:rsidRPr="009827C2" w:rsidRDefault="002B7254" w:rsidP="004F4BBD">
            <w:pPr>
              <w:widowControl w:val="0"/>
              <w:autoSpaceDE w:val="0"/>
              <w:autoSpaceDN w:val="0"/>
              <w:spacing w:before="1" w:line="270" w:lineRule="atLeast"/>
              <w:ind w:left="196" w:right="1357"/>
              <w:rPr>
                <w:rFonts w:eastAsia="Arial"/>
                <w:lang w:eastAsia="en-GB" w:bidi="en-GB"/>
              </w:rPr>
            </w:pPr>
            <w:r w:rsidRPr="009827C2">
              <w:rPr>
                <w:rFonts w:eastAsia="Arial"/>
                <w:color w:val="221F1F"/>
                <w:lang w:eastAsia="en-GB" w:bidi="en-GB"/>
              </w:rPr>
              <w:t>Regulation 32 – deferrals arising out of LPS designations</w:t>
            </w:r>
          </w:p>
        </w:tc>
        <w:tc>
          <w:tcPr>
            <w:tcW w:w="1984" w:type="dxa"/>
          </w:tcPr>
          <w:p w14:paraId="5D7899C4" w14:textId="77777777" w:rsidR="002B7254" w:rsidRPr="009827C2" w:rsidRDefault="002B7254" w:rsidP="004F4BBD">
            <w:pPr>
              <w:widowControl w:val="0"/>
              <w:autoSpaceDE w:val="0"/>
              <w:autoSpaceDN w:val="0"/>
              <w:spacing w:before="1" w:line="270" w:lineRule="atLeast"/>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6C84F22F" w14:textId="77777777" w:rsidTr="004F4BBD">
        <w:trPr>
          <w:trHeight w:val="827"/>
        </w:trPr>
        <w:tc>
          <w:tcPr>
            <w:tcW w:w="6116" w:type="dxa"/>
            <w:gridSpan w:val="2"/>
          </w:tcPr>
          <w:p w14:paraId="549F69B7" w14:textId="77777777" w:rsidR="002B7254" w:rsidRPr="009827C2" w:rsidRDefault="002B7254" w:rsidP="004F4BBD">
            <w:pPr>
              <w:widowControl w:val="0"/>
              <w:autoSpaceDE w:val="0"/>
              <w:autoSpaceDN w:val="0"/>
              <w:spacing w:line="270" w:lineRule="atLeast"/>
              <w:ind w:left="196" w:right="636"/>
              <w:rPr>
                <w:rFonts w:eastAsia="Arial"/>
                <w:lang w:eastAsia="en-GB" w:bidi="en-GB"/>
              </w:rPr>
            </w:pPr>
            <w:r w:rsidRPr="009827C2">
              <w:rPr>
                <w:rFonts w:eastAsia="Arial"/>
                <w:color w:val="221F1F"/>
                <w:lang w:eastAsia="en-GB" w:bidi="en-GB"/>
              </w:rPr>
              <w:t>Regulation 33 – determination of suitability of an applicant to be included in a pharmaceutical list on fitness grounds</w:t>
            </w:r>
          </w:p>
        </w:tc>
        <w:tc>
          <w:tcPr>
            <w:tcW w:w="1984" w:type="dxa"/>
          </w:tcPr>
          <w:p w14:paraId="02A7701E" w14:textId="77777777" w:rsidR="002B7254" w:rsidRPr="009827C2" w:rsidRDefault="002B7254" w:rsidP="004F4BBD">
            <w:pPr>
              <w:widowControl w:val="0"/>
              <w:autoSpaceDE w:val="0"/>
              <w:autoSpaceDN w:val="0"/>
              <w:ind w:left="157" w:right="214"/>
              <w:rPr>
                <w:rFonts w:eastAsia="Arial"/>
                <w:lang w:eastAsia="en-GB" w:bidi="en-GB"/>
              </w:rPr>
            </w:pPr>
            <w:r w:rsidRPr="009827C2">
              <w:rPr>
                <w:rFonts w:eastAsia="Arial"/>
                <w:color w:val="221F1F"/>
                <w:lang w:eastAsia="en-GB" w:bidi="en-GB"/>
              </w:rPr>
              <w:t>Subcommittee or PLDP</w:t>
            </w:r>
          </w:p>
        </w:tc>
      </w:tr>
      <w:tr w:rsidR="002B7254" w:rsidRPr="009827C2" w14:paraId="16193A8F" w14:textId="77777777" w:rsidTr="004F4BBD">
        <w:trPr>
          <w:trHeight w:val="827"/>
        </w:trPr>
        <w:tc>
          <w:tcPr>
            <w:tcW w:w="6116" w:type="dxa"/>
            <w:gridSpan w:val="2"/>
          </w:tcPr>
          <w:p w14:paraId="434BD343" w14:textId="77777777" w:rsidR="002B7254" w:rsidRPr="009827C2" w:rsidRDefault="002B7254" w:rsidP="004F4BBD">
            <w:pPr>
              <w:widowControl w:val="0"/>
              <w:autoSpaceDE w:val="0"/>
              <w:autoSpaceDN w:val="0"/>
              <w:spacing w:line="270" w:lineRule="atLeast"/>
              <w:ind w:left="196" w:right="169"/>
              <w:rPr>
                <w:rFonts w:eastAsia="Arial"/>
                <w:lang w:eastAsia="en-GB" w:bidi="en-GB"/>
              </w:rPr>
            </w:pPr>
            <w:r w:rsidRPr="009827C2">
              <w:rPr>
                <w:rFonts w:eastAsia="Arial"/>
                <w:color w:val="221F1F"/>
                <w:lang w:eastAsia="en-GB" w:bidi="en-GB"/>
              </w:rPr>
              <w:t>Regulation 34 – determination of deferral of application to be included in a pharmaceutical list on fitness grounds</w:t>
            </w:r>
          </w:p>
        </w:tc>
        <w:tc>
          <w:tcPr>
            <w:tcW w:w="1984" w:type="dxa"/>
          </w:tcPr>
          <w:p w14:paraId="4EF4882E" w14:textId="77777777" w:rsidR="002B7254" w:rsidRPr="009827C2" w:rsidRDefault="002B7254" w:rsidP="004F4BBD">
            <w:pPr>
              <w:widowControl w:val="0"/>
              <w:autoSpaceDE w:val="0"/>
              <w:autoSpaceDN w:val="0"/>
              <w:ind w:left="157" w:right="214"/>
              <w:rPr>
                <w:rFonts w:eastAsia="Arial"/>
                <w:lang w:eastAsia="en-GB" w:bidi="en-GB"/>
              </w:rPr>
            </w:pPr>
            <w:r w:rsidRPr="009827C2">
              <w:rPr>
                <w:rFonts w:eastAsia="Arial"/>
                <w:color w:val="221F1F"/>
                <w:lang w:eastAsia="en-GB" w:bidi="en-GB"/>
              </w:rPr>
              <w:t>Subcommittee or PLDP</w:t>
            </w:r>
          </w:p>
        </w:tc>
      </w:tr>
      <w:tr w:rsidR="002B7254" w:rsidRPr="009827C2" w14:paraId="3D97CA7E" w14:textId="77777777" w:rsidTr="004F4BBD">
        <w:trPr>
          <w:trHeight w:val="873"/>
        </w:trPr>
        <w:tc>
          <w:tcPr>
            <w:tcW w:w="6116" w:type="dxa"/>
            <w:gridSpan w:val="2"/>
          </w:tcPr>
          <w:p w14:paraId="60E83E5D" w14:textId="77777777" w:rsidR="002B7254" w:rsidRPr="009827C2" w:rsidRDefault="002B7254" w:rsidP="004F4BBD">
            <w:pPr>
              <w:widowControl w:val="0"/>
              <w:autoSpaceDE w:val="0"/>
              <w:autoSpaceDN w:val="0"/>
              <w:ind w:left="196" w:right="49"/>
              <w:rPr>
                <w:rFonts w:eastAsia="Arial"/>
                <w:lang w:eastAsia="en-GB" w:bidi="en-GB"/>
              </w:rPr>
            </w:pPr>
            <w:r w:rsidRPr="009827C2">
              <w:rPr>
                <w:rFonts w:eastAsia="Arial"/>
                <w:color w:val="221F1F"/>
                <w:lang w:eastAsia="en-GB" w:bidi="en-GB"/>
              </w:rPr>
              <w:lastRenderedPageBreak/>
              <w:t>Regulation 35 – determination of conditional inclusion of an applicant to be included in a pharmaceutical list on fitness grounds</w:t>
            </w:r>
          </w:p>
        </w:tc>
        <w:tc>
          <w:tcPr>
            <w:tcW w:w="1984" w:type="dxa"/>
          </w:tcPr>
          <w:p w14:paraId="48AD5B63" w14:textId="77777777" w:rsidR="002B7254" w:rsidRPr="009827C2" w:rsidRDefault="002B7254" w:rsidP="004F4BBD">
            <w:pPr>
              <w:widowControl w:val="0"/>
              <w:autoSpaceDE w:val="0"/>
              <w:autoSpaceDN w:val="0"/>
              <w:ind w:left="157" w:right="214"/>
              <w:rPr>
                <w:rFonts w:eastAsia="Arial"/>
                <w:lang w:eastAsia="en-GB" w:bidi="en-GB"/>
              </w:rPr>
            </w:pPr>
            <w:r w:rsidRPr="009827C2">
              <w:rPr>
                <w:rFonts w:eastAsia="Arial"/>
                <w:color w:val="221F1F"/>
                <w:lang w:eastAsia="en-GB" w:bidi="en-GB"/>
              </w:rPr>
              <w:t>Subcommittee or PLDP</w:t>
            </w:r>
          </w:p>
        </w:tc>
      </w:tr>
      <w:tr w:rsidR="002B7254" w:rsidRPr="009827C2" w14:paraId="057FC543" w14:textId="77777777" w:rsidTr="004F4BBD">
        <w:trPr>
          <w:trHeight w:val="2207"/>
        </w:trPr>
        <w:tc>
          <w:tcPr>
            <w:tcW w:w="6116" w:type="dxa"/>
            <w:gridSpan w:val="2"/>
          </w:tcPr>
          <w:p w14:paraId="03402256" w14:textId="77777777" w:rsidR="002B7254" w:rsidRPr="009827C2" w:rsidRDefault="002B7254" w:rsidP="004F4BBD">
            <w:pPr>
              <w:widowControl w:val="0"/>
              <w:autoSpaceDE w:val="0"/>
              <w:autoSpaceDN w:val="0"/>
              <w:spacing w:line="270" w:lineRule="atLeast"/>
              <w:ind w:left="196" w:right="37"/>
              <w:rPr>
                <w:rFonts w:eastAsia="Arial"/>
                <w:lang w:eastAsia="en-GB" w:bidi="en-GB"/>
              </w:rPr>
            </w:pPr>
            <w:r w:rsidRPr="009827C2">
              <w:rPr>
                <w:rFonts w:eastAsia="Arial"/>
                <w:color w:val="221F1F"/>
                <w:lang w:eastAsia="en-GB" w:bidi="en-GB"/>
              </w:rPr>
              <w:t xml:space="preserve">Regulation 36 – determination of whether an area is a controlled locality (or is part of a controlled locality), </w:t>
            </w:r>
            <w:proofErr w:type="gramStart"/>
            <w:r w:rsidRPr="009827C2">
              <w:rPr>
                <w:rFonts w:eastAsia="Arial"/>
                <w:color w:val="221F1F"/>
                <w:lang w:eastAsia="en-GB" w:bidi="en-GB"/>
              </w:rPr>
              <w:t>as a result of</w:t>
            </w:r>
            <w:proofErr w:type="gramEnd"/>
            <w:r w:rsidRPr="009827C2">
              <w:rPr>
                <w:rFonts w:eastAsia="Arial"/>
                <w:color w:val="221F1F"/>
                <w:lang w:eastAsia="en-GB" w:bidi="en-GB"/>
              </w:rPr>
              <w:t xml:space="preserve"> a local medical committee or local pharmaceutical committee request for such a determination or because NHS England is satisfied that such a determination is required (and </w:t>
            </w:r>
            <w:proofErr w:type="gramStart"/>
            <w:r w:rsidRPr="009827C2">
              <w:rPr>
                <w:rFonts w:eastAsia="Arial"/>
                <w:color w:val="221F1F"/>
                <w:lang w:eastAsia="en-GB" w:bidi="en-GB"/>
              </w:rPr>
              <w:t>make arrangements</w:t>
            </w:r>
            <w:proofErr w:type="gramEnd"/>
            <w:r w:rsidRPr="009827C2">
              <w:rPr>
                <w:rFonts w:eastAsia="Arial"/>
                <w:color w:val="221F1F"/>
                <w:lang w:eastAsia="en-GB" w:bidi="en-GB"/>
              </w:rPr>
              <w:t xml:space="preserve"> for any controlled locality to be clearly delineated on a published map)</w:t>
            </w:r>
          </w:p>
        </w:tc>
        <w:tc>
          <w:tcPr>
            <w:tcW w:w="1984" w:type="dxa"/>
          </w:tcPr>
          <w:p w14:paraId="4E71F98F" w14:textId="3F9AD476" w:rsidR="002B7254" w:rsidRPr="009827C2" w:rsidRDefault="00A836C1" w:rsidP="004F4BBD">
            <w:pPr>
              <w:widowControl w:val="0"/>
              <w:autoSpaceDE w:val="0"/>
              <w:autoSpaceDN w:val="0"/>
              <w:ind w:left="157"/>
              <w:rPr>
                <w:rFonts w:eastAsia="Arial"/>
                <w:lang w:eastAsia="en-GB" w:bidi="en-GB"/>
              </w:rPr>
            </w:pPr>
            <w:r>
              <w:rPr>
                <w:rFonts w:eastAsia="Arial"/>
                <w:color w:val="221F1F"/>
                <w:lang w:eastAsia="en-GB" w:bidi="en-GB"/>
              </w:rPr>
              <w:t>Subcommittee</w:t>
            </w:r>
          </w:p>
        </w:tc>
      </w:tr>
      <w:tr w:rsidR="002B7254" w:rsidRPr="009827C2" w14:paraId="02C81EE5" w14:textId="77777777" w:rsidTr="004F4BBD">
        <w:trPr>
          <w:trHeight w:val="551"/>
        </w:trPr>
        <w:tc>
          <w:tcPr>
            <w:tcW w:w="6116" w:type="dxa"/>
            <w:gridSpan w:val="2"/>
          </w:tcPr>
          <w:p w14:paraId="11BF4B72" w14:textId="77777777" w:rsidR="002B7254" w:rsidRPr="009827C2" w:rsidRDefault="002B7254" w:rsidP="004F4BBD">
            <w:pPr>
              <w:widowControl w:val="0"/>
              <w:autoSpaceDE w:val="0"/>
              <w:autoSpaceDN w:val="0"/>
              <w:spacing w:before="4" w:line="276" w:lineRule="exact"/>
              <w:ind w:left="196" w:right="636"/>
              <w:rPr>
                <w:rFonts w:eastAsia="Arial"/>
                <w:lang w:eastAsia="en-GB" w:bidi="en-GB"/>
              </w:rPr>
            </w:pPr>
            <w:r w:rsidRPr="009827C2">
              <w:rPr>
                <w:rFonts w:eastAsia="Arial"/>
                <w:color w:val="221F1F"/>
                <w:lang w:eastAsia="en-GB" w:bidi="en-GB"/>
              </w:rPr>
              <w:t>Regulation 37 – process for determining controlled localities: preliminary matters</w:t>
            </w:r>
          </w:p>
        </w:tc>
        <w:tc>
          <w:tcPr>
            <w:tcW w:w="1984" w:type="dxa"/>
          </w:tcPr>
          <w:p w14:paraId="72BE1F6A"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Subcommittee</w:t>
            </w:r>
          </w:p>
        </w:tc>
      </w:tr>
      <w:tr w:rsidR="002B7254" w:rsidRPr="009827C2" w14:paraId="326DBCB5" w14:textId="77777777" w:rsidTr="004F4BBD">
        <w:trPr>
          <w:trHeight w:val="824"/>
        </w:trPr>
        <w:tc>
          <w:tcPr>
            <w:tcW w:w="6116" w:type="dxa"/>
            <w:gridSpan w:val="2"/>
          </w:tcPr>
          <w:p w14:paraId="5255F48F" w14:textId="77777777" w:rsidR="002B7254" w:rsidRPr="009827C2" w:rsidRDefault="002B7254" w:rsidP="004F4BBD">
            <w:pPr>
              <w:widowControl w:val="0"/>
              <w:autoSpaceDE w:val="0"/>
              <w:autoSpaceDN w:val="0"/>
              <w:spacing w:before="1" w:line="276" w:lineRule="exact"/>
              <w:ind w:left="196" w:right="463"/>
              <w:rPr>
                <w:rFonts w:eastAsia="Arial"/>
                <w:lang w:eastAsia="en-GB" w:bidi="en-GB"/>
              </w:rPr>
            </w:pPr>
            <w:r w:rsidRPr="009827C2">
              <w:rPr>
                <w:rFonts w:eastAsia="Arial"/>
                <w:color w:val="221F1F"/>
                <w:lang w:eastAsia="en-GB" w:bidi="en-GB"/>
              </w:rPr>
              <w:t>Regulation 40 – applications for new pharmacy premises in controlled localities: refusals because of preliminary matters</w:t>
            </w:r>
          </w:p>
        </w:tc>
        <w:tc>
          <w:tcPr>
            <w:tcW w:w="1984" w:type="dxa"/>
          </w:tcPr>
          <w:p w14:paraId="4693E2B9" w14:textId="77777777" w:rsidR="002B7254" w:rsidRPr="009827C2" w:rsidRDefault="002B7254" w:rsidP="004F4BBD">
            <w:pPr>
              <w:widowControl w:val="0"/>
              <w:autoSpaceDE w:val="0"/>
              <w:autoSpaceDN w:val="0"/>
              <w:spacing w:line="273" w:lineRule="exact"/>
              <w:ind w:left="157"/>
              <w:rPr>
                <w:rFonts w:eastAsia="Arial"/>
                <w:lang w:eastAsia="en-GB" w:bidi="en-GB"/>
              </w:rPr>
            </w:pPr>
            <w:r w:rsidRPr="009827C2">
              <w:rPr>
                <w:rFonts w:eastAsia="Arial"/>
                <w:color w:val="221F1F"/>
                <w:lang w:eastAsia="en-GB" w:bidi="en-GB"/>
              </w:rPr>
              <w:t>Subcommittee</w:t>
            </w:r>
          </w:p>
        </w:tc>
      </w:tr>
      <w:tr w:rsidR="002B7254" w:rsidRPr="009827C2" w14:paraId="63B47736" w14:textId="77777777" w:rsidTr="004F4BBD">
        <w:trPr>
          <w:trHeight w:val="1099"/>
        </w:trPr>
        <w:tc>
          <w:tcPr>
            <w:tcW w:w="6116" w:type="dxa"/>
            <w:gridSpan w:val="2"/>
          </w:tcPr>
          <w:p w14:paraId="36ED3C01" w14:textId="77777777" w:rsidR="002B7254" w:rsidRPr="009827C2" w:rsidRDefault="002B7254" w:rsidP="004F4BBD">
            <w:pPr>
              <w:widowControl w:val="0"/>
              <w:autoSpaceDE w:val="0"/>
              <w:autoSpaceDN w:val="0"/>
              <w:spacing w:line="276" w:lineRule="exact"/>
              <w:ind w:left="196" w:right="396"/>
              <w:rPr>
                <w:rFonts w:eastAsia="Arial"/>
                <w:lang w:eastAsia="en-GB" w:bidi="en-GB"/>
              </w:rPr>
            </w:pPr>
            <w:r w:rsidRPr="009827C2">
              <w:rPr>
                <w:rFonts w:eastAsia="Arial"/>
                <w:color w:val="221F1F"/>
                <w:lang w:eastAsia="en-GB" w:bidi="en-GB"/>
              </w:rPr>
              <w:t xml:space="preserve">Regulations 41 and 42 – determination of whether premises are (or a best estimate is) in a reserved location (and </w:t>
            </w:r>
            <w:proofErr w:type="gramStart"/>
            <w:r w:rsidRPr="009827C2">
              <w:rPr>
                <w:rFonts w:eastAsia="Arial"/>
                <w:color w:val="221F1F"/>
                <w:lang w:eastAsia="en-GB" w:bidi="en-GB"/>
              </w:rPr>
              <w:t>make arrangements</w:t>
            </w:r>
            <w:proofErr w:type="gramEnd"/>
            <w:r w:rsidRPr="009827C2">
              <w:rPr>
                <w:rFonts w:eastAsia="Arial"/>
                <w:color w:val="221F1F"/>
                <w:lang w:eastAsia="en-GB" w:bidi="en-GB"/>
              </w:rPr>
              <w:t xml:space="preserve"> for any reserved location to be clearly delineated on a published map)</w:t>
            </w:r>
          </w:p>
        </w:tc>
        <w:tc>
          <w:tcPr>
            <w:tcW w:w="1984" w:type="dxa"/>
          </w:tcPr>
          <w:p w14:paraId="4623BA72" w14:textId="67C33617" w:rsidR="002B7254" w:rsidRPr="009827C2" w:rsidRDefault="00A836C1" w:rsidP="004F4BBD">
            <w:pPr>
              <w:widowControl w:val="0"/>
              <w:autoSpaceDE w:val="0"/>
              <w:autoSpaceDN w:val="0"/>
              <w:spacing w:line="272" w:lineRule="exact"/>
              <w:ind w:left="157"/>
              <w:rPr>
                <w:rFonts w:eastAsia="Arial"/>
                <w:lang w:eastAsia="en-GB" w:bidi="en-GB"/>
              </w:rPr>
            </w:pPr>
            <w:r>
              <w:rPr>
                <w:rFonts w:eastAsia="Arial"/>
                <w:color w:val="221F1F"/>
                <w:lang w:eastAsia="en-GB" w:bidi="en-GB"/>
              </w:rPr>
              <w:t>Subcommittee</w:t>
            </w:r>
          </w:p>
        </w:tc>
      </w:tr>
      <w:tr w:rsidR="002B7254" w:rsidRPr="009827C2" w14:paraId="0F224052" w14:textId="77777777" w:rsidTr="004F4BBD">
        <w:trPr>
          <w:trHeight w:val="822"/>
        </w:trPr>
        <w:tc>
          <w:tcPr>
            <w:tcW w:w="6116" w:type="dxa"/>
            <w:gridSpan w:val="2"/>
          </w:tcPr>
          <w:p w14:paraId="1D4E3D9E" w14:textId="77777777" w:rsidR="002B7254" w:rsidRPr="009827C2" w:rsidRDefault="002B7254" w:rsidP="004F4BBD">
            <w:pPr>
              <w:widowControl w:val="0"/>
              <w:autoSpaceDE w:val="0"/>
              <w:autoSpaceDN w:val="0"/>
              <w:ind w:left="196" w:right="317"/>
              <w:rPr>
                <w:rFonts w:eastAsia="Arial"/>
                <w:lang w:eastAsia="en-GB" w:bidi="en-GB"/>
              </w:rPr>
            </w:pPr>
            <w:r w:rsidRPr="009827C2">
              <w:rPr>
                <w:rFonts w:eastAsia="Arial"/>
                <w:color w:val="221F1F"/>
                <w:lang w:eastAsia="en-GB" w:bidi="en-GB"/>
              </w:rPr>
              <w:t>Regulation 44 – prejudice test in respect of routine applications for new pharmacy premises in a part of a</w:t>
            </w:r>
          </w:p>
          <w:p w14:paraId="5D9E988F" w14:textId="77777777" w:rsidR="002B7254" w:rsidRPr="009827C2" w:rsidRDefault="002B7254" w:rsidP="004F4BBD">
            <w:pPr>
              <w:widowControl w:val="0"/>
              <w:autoSpaceDE w:val="0"/>
              <w:autoSpaceDN w:val="0"/>
              <w:spacing w:line="255" w:lineRule="exact"/>
              <w:ind w:left="196"/>
              <w:rPr>
                <w:rFonts w:eastAsia="Arial"/>
                <w:lang w:eastAsia="en-GB" w:bidi="en-GB"/>
              </w:rPr>
            </w:pPr>
            <w:r w:rsidRPr="009827C2">
              <w:rPr>
                <w:rFonts w:eastAsia="Arial"/>
                <w:color w:val="221F1F"/>
                <w:lang w:eastAsia="en-GB" w:bidi="en-GB"/>
              </w:rPr>
              <w:t>controlled locality that is not a reserved location</w:t>
            </w:r>
          </w:p>
        </w:tc>
        <w:tc>
          <w:tcPr>
            <w:tcW w:w="1984" w:type="dxa"/>
          </w:tcPr>
          <w:p w14:paraId="284F8EB3" w14:textId="77777777" w:rsidR="002B7254" w:rsidRPr="009827C2" w:rsidRDefault="002B7254" w:rsidP="004F4BBD">
            <w:pPr>
              <w:widowControl w:val="0"/>
              <w:autoSpaceDE w:val="0"/>
              <w:autoSpaceDN w:val="0"/>
              <w:spacing w:line="271" w:lineRule="exact"/>
              <w:ind w:left="157"/>
              <w:rPr>
                <w:rFonts w:eastAsia="Arial"/>
                <w:lang w:eastAsia="en-GB" w:bidi="en-GB"/>
              </w:rPr>
            </w:pPr>
            <w:r w:rsidRPr="009827C2">
              <w:rPr>
                <w:rFonts w:eastAsia="Arial"/>
                <w:color w:val="221F1F"/>
                <w:lang w:eastAsia="en-GB" w:bidi="en-GB"/>
              </w:rPr>
              <w:t>Subcommittee</w:t>
            </w:r>
          </w:p>
        </w:tc>
      </w:tr>
      <w:tr w:rsidR="002B7254" w:rsidRPr="009827C2" w14:paraId="7AED530A" w14:textId="77777777" w:rsidTr="004F4BBD">
        <w:trPr>
          <w:trHeight w:val="551"/>
        </w:trPr>
        <w:tc>
          <w:tcPr>
            <w:tcW w:w="6116" w:type="dxa"/>
            <w:gridSpan w:val="2"/>
          </w:tcPr>
          <w:p w14:paraId="300A54B8" w14:textId="77777777" w:rsidR="002B7254" w:rsidRPr="009827C2" w:rsidRDefault="002B7254" w:rsidP="004F4BBD">
            <w:pPr>
              <w:widowControl w:val="0"/>
              <w:autoSpaceDE w:val="0"/>
              <w:autoSpaceDN w:val="0"/>
              <w:spacing w:line="270" w:lineRule="atLeast"/>
              <w:ind w:left="196" w:right="289"/>
              <w:rPr>
                <w:rFonts w:eastAsia="Arial"/>
                <w:lang w:eastAsia="en-GB" w:bidi="en-GB"/>
              </w:rPr>
            </w:pPr>
            <w:r w:rsidRPr="009827C2">
              <w:rPr>
                <w:rFonts w:eastAsia="Arial"/>
                <w:color w:val="221F1F"/>
                <w:lang w:eastAsia="en-GB" w:bidi="en-GB"/>
              </w:rPr>
              <w:t>Regulation 48(2) - determination of patient application ('serious difficulty' applications)</w:t>
            </w:r>
          </w:p>
        </w:tc>
        <w:tc>
          <w:tcPr>
            <w:tcW w:w="1984" w:type="dxa"/>
          </w:tcPr>
          <w:p w14:paraId="1760E2E6" w14:textId="77777777" w:rsidR="002B7254" w:rsidRPr="009827C2" w:rsidRDefault="002B7254" w:rsidP="004F4BBD">
            <w:pPr>
              <w:widowControl w:val="0"/>
              <w:autoSpaceDE w:val="0"/>
              <w:autoSpaceDN w:val="0"/>
              <w:spacing w:line="270" w:lineRule="atLeast"/>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49174A9E" w14:textId="77777777" w:rsidTr="004F4BBD">
        <w:trPr>
          <w:trHeight w:val="828"/>
        </w:trPr>
        <w:tc>
          <w:tcPr>
            <w:tcW w:w="6116" w:type="dxa"/>
            <w:gridSpan w:val="2"/>
          </w:tcPr>
          <w:p w14:paraId="7D979D64" w14:textId="77777777" w:rsidR="002B7254" w:rsidRPr="009827C2" w:rsidRDefault="002B7254" w:rsidP="004F4BBD">
            <w:pPr>
              <w:widowControl w:val="0"/>
              <w:autoSpaceDE w:val="0"/>
              <w:autoSpaceDN w:val="0"/>
              <w:spacing w:before="1" w:line="270" w:lineRule="atLeast"/>
              <w:ind w:left="196" w:right="50"/>
              <w:rPr>
                <w:rFonts w:eastAsia="Arial"/>
                <w:lang w:eastAsia="en-GB" w:bidi="en-GB"/>
              </w:rPr>
            </w:pPr>
            <w:r w:rsidRPr="009827C2">
              <w:rPr>
                <w:rFonts w:eastAsia="Arial"/>
                <w:color w:val="221F1F"/>
                <w:lang w:eastAsia="en-GB" w:bidi="en-GB"/>
              </w:rPr>
              <w:t>Regulation 48(5) to (9) – making of arrangements with a dispensing doctor to dispense to a particular patient or patients</w:t>
            </w:r>
          </w:p>
        </w:tc>
        <w:tc>
          <w:tcPr>
            <w:tcW w:w="1984" w:type="dxa"/>
          </w:tcPr>
          <w:p w14:paraId="3C7E01C9" w14:textId="77777777" w:rsidR="002B7254" w:rsidRPr="009827C2" w:rsidRDefault="002B7254" w:rsidP="004F4BBD">
            <w:pPr>
              <w:widowControl w:val="0"/>
              <w:autoSpaceDE w:val="0"/>
              <w:autoSpaceDN w:val="0"/>
              <w:spacing w:before="1"/>
              <w:ind w:left="157"/>
              <w:rPr>
                <w:rFonts w:eastAsia="Arial"/>
                <w:lang w:eastAsia="en-GB" w:bidi="en-GB"/>
              </w:rPr>
            </w:pPr>
            <w:r w:rsidRPr="009827C2">
              <w:rPr>
                <w:rFonts w:eastAsia="Arial"/>
                <w:color w:val="221F1F"/>
                <w:lang w:eastAsia="en-GB" w:bidi="en-GB"/>
              </w:rPr>
              <w:t>Subcommittee</w:t>
            </w:r>
          </w:p>
        </w:tc>
      </w:tr>
      <w:tr w:rsidR="002B7254" w:rsidRPr="009827C2" w14:paraId="2452CA7C" w14:textId="77777777" w:rsidTr="004F4BBD">
        <w:trPr>
          <w:trHeight w:val="1103"/>
        </w:trPr>
        <w:tc>
          <w:tcPr>
            <w:tcW w:w="6116" w:type="dxa"/>
            <w:gridSpan w:val="2"/>
          </w:tcPr>
          <w:p w14:paraId="1D967DFF" w14:textId="77777777" w:rsidR="002B7254" w:rsidRPr="009827C2" w:rsidRDefault="002B7254" w:rsidP="004F4BBD">
            <w:pPr>
              <w:widowControl w:val="0"/>
              <w:autoSpaceDE w:val="0"/>
              <w:autoSpaceDN w:val="0"/>
              <w:spacing w:before="4" w:line="276" w:lineRule="exact"/>
              <w:ind w:left="196" w:right="171"/>
              <w:rPr>
                <w:rFonts w:eastAsia="Arial"/>
                <w:lang w:eastAsia="en-GB" w:bidi="en-GB"/>
              </w:rPr>
            </w:pPr>
            <w:r w:rsidRPr="009827C2">
              <w:rPr>
                <w:rFonts w:eastAsia="Arial"/>
                <w:color w:val="221F1F"/>
                <w:lang w:eastAsia="en-GB" w:bidi="en-GB"/>
              </w:rPr>
              <w:t>Regulation 50 – consideration of '</w:t>
            </w:r>
            <w:proofErr w:type="spellStart"/>
            <w:r w:rsidRPr="009827C2">
              <w:rPr>
                <w:rFonts w:eastAsia="Arial"/>
                <w:color w:val="221F1F"/>
                <w:lang w:eastAsia="en-GB" w:bidi="en-GB"/>
              </w:rPr>
              <w:t>gradualisation</w:t>
            </w:r>
            <w:proofErr w:type="spellEnd"/>
            <w:r w:rsidRPr="009827C2">
              <w:rPr>
                <w:rFonts w:eastAsia="Arial"/>
                <w:color w:val="221F1F"/>
                <w:lang w:eastAsia="en-GB" w:bidi="en-GB"/>
              </w:rPr>
              <w:t>' (</w:t>
            </w:r>
            <w:proofErr w:type="spellStart"/>
            <w:r w:rsidRPr="009827C2">
              <w:rPr>
                <w:rFonts w:eastAsia="Arial"/>
                <w:color w:val="221F1F"/>
                <w:lang w:eastAsia="en-GB" w:bidi="en-GB"/>
              </w:rPr>
              <w:t>ie</w:t>
            </w:r>
            <w:proofErr w:type="spellEnd"/>
            <w:r w:rsidRPr="009827C2">
              <w:rPr>
                <w:rFonts w:eastAsia="Arial"/>
                <w:color w:val="221F1F"/>
                <w:lang w:eastAsia="en-GB" w:bidi="en-GB"/>
              </w:rPr>
              <w:t xml:space="preserve"> the postponement of the discontinuation of services by dispensing doctors) for an application in relation to premises in, or within 1.6km of, a controlled locality</w:t>
            </w:r>
          </w:p>
        </w:tc>
        <w:tc>
          <w:tcPr>
            <w:tcW w:w="1984" w:type="dxa"/>
          </w:tcPr>
          <w:p w14:paraId="316C5703"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Subcommittee</w:t>
            </w:r>
          </w:p>
        </w:tc>
      </w:tr>
      <w:tr w:rsidR="002B7254" w:rsidRPr="009827C2" w14:paraId="366E7BAD" w14:textId="77777777" w:rsidTr="004F4BBD">
        <w:trPr>
          <w:trHeight w:val="1375"/>
        </w:trPr>
        <w:tc>
          <w:tcPr>
            <w:tcW w:w="6116" w:type="dxa"/>
            <w:gridSpan w:val="2"/>
          </w:tcPr>
          <w:p w14:paraId="172EB9F6" w14:textId="77777777" w:rsidR="002B7254" w:rsidRPr="009827C2" w:rsidRDefault="002B7254" w:rsidP="004F4BBD">
            <w:pPr>
              <w:widowControl w:val="0"/>
              <w:autoSpaceDE w:val="0"/>
              <w:autoSpaceDN w:val="0"/>
              <w:spacing w:line="276" w:lineRule="exact"/>
              <w:ind w:left="196" w:right="63"/>
              <w:rPr>
                <w:rFonts w:eastAsia="Arial"/>
                <w:color w:val="221F1F"/>
                <w:lang w:eastAsia="en-GB" w:bidi="en-GB"/>
              </w:rPr>
            </w:pPr>
            <w:r w:rsidRPr="009827C2">
              <w:rPr>
                <w:rFonts w:eastAsia="Arial"/>
                <w:color w:val="221F1F"/>
                <w:lang w:eastAsia="en-GB" w:bidi="en-GB"/>
              </w:rPr>
              <w:t>Regulations 51 to 60 – determination of doctor application (outline consent and premises approval) including the taking effect of decisions, relocations, gradual introduction of premises approval, temporary provisions in cases of relocations or additional premises</w:t>
            </w:r>
          </w:p>
          <w:p w14:paraId="76A0CDB5" w14:textId="77777777" w:rsidR="002B7254" w:rsidRPr="009827C2" w:rsidRDefault="002B7254" w:rsidP="004F4BBD">
            <w:pPr>
              <w:widowControl w:val="0"/>
              <w:autoSpaceDE w:val="0"/>
              <w:autoSpaceDN w:val="0"/>
              <w:spacing w:line="276" w:lineRule="exact"/>
              <w:ind w:left="196" w:right="63"/>
              <w:rPr>
                <w:rFonts w:eastAsia="Arial"/>
                <w:color w:val="221F1F"/>
                <w:lang w:eastAsia="en-GB" w:bidi="en-GB"/>
              </w:rPr>
            </w:pPr>
          </w:p>
          <w:p w14:paraId="12009391" w14:textId="77777777" w:rsidR="002B7254" w:rsidRPr="009827C2" w:rsidRDefault="002B7254" w:rsidP="004F4BBD">
            <w:pPr>
              <w:widowControl w:val="0"/>
              <w:autoSpaceDE w:val="0"/>
              <w:autoSpaceDN w:val="0"/>
              <w:spacing w:line="276" w:lineRule="exact"/>
              <w:ind w:left="196" w:right="63"/>
              <w:rPr>
                <w:rFonts w:eastAsia="Arial"/>
                <w:color w:val="221F1F"/>
                <w:lang w:eastAsia="en-GB" w:bidi="en-GB"/>
              </w:rPr>
            </w:pPr>
          </w:p>
          <w:p w14:paraId="3B29CA10" w14:textId="77777777" w:rsidR="002B7254" w:rsidRPr="009827C2" w:rsidRDefault="002B7254" w:rsidP="004F4BBD">
            <w:pPr>
              <w:widowControl w:val="0"/>
              <w:autoSpaceDE w:val="0"/>
              <w:autoSpaceDN w:val="0"/>
              <w:spacing w:line="276" w:lineRule="exact"/>
              <w:ind w:left="196" w:right="63"/>
              <w:rPr>
                <w:rFonts w:eastAsia="Arial"/>
                <w:lang w:eastAsia="en-GB" w:bidi="en-GB"/>
              </w:rPr>
            </w:pPr>
          </w:p>
        </w:tc>
        <w:tc>
          <w:tcPr>
            <w:tcW w:w="1984" w:type="dxa"/>
          </w:tcPr>
          <w:p w14:paraId="4D399DFB" w14:textId="77777777" w:rsidR="002B7254" w:rsidRPr="009827C2" w:rsidRDefault="002B7254" w:rsidP="004F4BBD">
            <w:pPr>
              <w:widowControl w:val="0"/>
              <w:autoSpaceDE w:val="0"/>
              <w:autoSpaceDN w:val="0"/>
              <w:spacing w:line="272" w:lineRule="exact"/>
              <w:ind w:left="157"/>
              <w:rPr>
                <w:rFonts w:eastAsia="Arial"/>
                <w:lang w:eastAsia="en-GB" w:bidi="en-GB"/>
              </w:rPr>
            </w:pPr>
            <w:r w:rsidRPr="009827C2">
              <w:rPr>
                <w:rFonts w:eastAsia="Arial"/>
                <w:color w:val="221F1F"/>
                <w:lang w:eastAsia="en-GB" w:bidi="en-GB"/>
              </w:rPr>
              <w:t>Subcommittee</w:t>
            </w:r>
          </w:p>
        </w:tc>
      </w:tr>
      <w:tr w:rsidR="002B7254" w:rsidRPr="009827C2" w14:paraId="48023FF5" w14:textId="77777777" w:rsidTr="002B7254">
        <w:trPr>
          <w:trHeight w:val="561"/>
        </w:trPr>
        <w:tc>
          <w:tcPr>
            <w:tcW w:w="6116" w:type="dxa"/>
            <w:gridSpan w:val="2"/>
            <w:tcBorders>
              <w:top w:val="nil"/>
              <w:left w:val="nil"/>
              <w:bottom w:val="nil"/>
              <w:right w:val="nil"/>
            </w:tcBorders>
            <w:shd w:val="clear" w:color="auto" w:fill="EEECE1" w:themeFill="background2"/>
          </w:tcPr>
          <w:p w14:paraId="478B7F5A" w14:textId="77777777" w:rsidR="002B7254" w:rsidRPr="009827C2" w:rsidRDefault="002B7254" w:rsidP="004F4BBD">
            <w:pPr>
              <w:widowControl w:val="0"/>
              <w:autoSpaceDE w:val="0"/>
              <w:autoSpaceDN w:val="0"/>
              <w:ind w:left="196"/>
              <w:rPr>
                <w:rFonts w:eastAsia="Arial"/>
                <w:b/>
                <w:lang w:eastAsia="en-GB" w:bidi="en-GB"/>
              </w:rPr>
            </w:pPr>
            <w:r w:rsidRPr="009827C2">
              <w:rPr>
                <w:rFonts w:eastAsia="Arial"/>
                <w:b/>
                <w:lang w:eastAsia="en-GB" w:bidi="en-GB"/>
              </w:rPr>
              <w:t>Regulatory provision</w:t>
            </w:r>
          </w:p>
        </w:tc>
        <w:tc>
          <w:tcPr>
            <w:tcW w:w="1984" w:type="dxa"/>
            <w:tcBorders>
              <w:top w:val="nil"/>
              <w:left w:val="nil"/>
              <w:bottom w:val="nil"/>
              <w:right w:val="nil"/>
            </w:tcBorders>
            <w:shd w:val="clear" w:color="auto" w:fill="EEECE1" w:themeFill="background2"/>
          </w:tcPr>
          <w:p w14:paraId="4DA181ED" w14:textId="77777777" w:rsidR="002B7254" w:rsidRPr="009827C2" w:rsidRDefault="002B7254" w:rsidP="004F4BBD">
            <w:pPr>
              <w:widowControl w:val="0"/>
              <w:autoSpaceDE w:val="0"/>
              <w:autoSpaceDN w:val="0"/>
              <w:spacing w:line="270" w:lineRule="atLeast"/>
              <w:ind w:left="157" w:right="304"/>
              <w:rPr>
                <w:rFonts w:eastAsia="Arial"/>
                <w:b/>
                <w:lang w:eastAsia="en-GB" w:bidi="en-GB"/>
              </w:rPr>
            </w:pPr>
            <w:r w:rsidRPr="009827C2">
              <w:rPr>
                <w:rFonts w:eastAsia="Arial"/>
                <w:b/>
                <w:lang w:eastAsia="en-GB" w:bidi="en-GB"/>
              </w:rPr>
              <w:t>Decision- maker</w:t>
            </w:r>
          </w:p>
        </w:tc>
      </w:tr>
      <w:tr w:rsidR="002B7254" w:rsidRPr="009827C2" w14:paraId="61F55A5B" w14:textId="77777777" w:rsidTr="004F4BBD">
        <w:trPr>
          <w:trHeight w:val="828"/>
        </w:trPr>
        <w:tc>
          <w:tcPr>
            <w:tcW w:w="6116" w:type="dxa"/>
            <w:gridSpan w:val="2"/>
            <w:tcBorders>
              <w:top w:val="nil"/>
            </w:tcBorders>
          </w:tcPr>
          <w:p w14:paraId="195C7232" w14:textId="77777777" w:rsidR="002B7254" w:rsidRPr="009827C2" w:rsidRDefault="002B7254" w:rsidP="004F4BBD">
            <w:pPr>
              <w:widowControl w:val="0"/>
              <w:autoSpaceDE w:val="0"/>
              <w:autoSpaceDN w:val="0"/>
              <w:ind w:left="196" w:right="183"/>
              <w:rPr>
                <w:rFonts w:eastAsia="Arial"/>
                <w:lang w:eastAsia="en-GB" w:bidi="en-GB"/>
              </w:rPr>
            </w:pPr>
            <w:r w:rsidRPr="009827C2">
              <w:rPr>
                <w:rFonts w:eastAsia="Arial"/>
                <w:color w:val="221F1F"/>
                <w:lang w:eastAsia="en-GB" w:bidi="en-GB"/>
              </w:rPr>
              <w:t>where premises approval has not taken effect, practice amalgamations, and lapse of outline consent and</w:t>
            </w:r>
          </w:p>
          <w:p w14:paraId="0A95B9FD" w14:textId="77777777" w:rsidR="002B7254" w:rsidRPr="009827C2" w:rsidRDefault="002B7254" w:rsidP="004F4BBD">
            <w:pPr>
              <w:widowControl w:val="0"/>
              <w:autoSpaceDE w:val="0"/>
              <w:autoSpaceDN w:val="0"/>
              <w:spacing w:before="1" w:line="255" w:lineRule="exact"/>
              <w:ind w:left="196"/>
              <w:rPr>
                <w:rFonts w:eastAsia="Arial"/>
                <w:lang w:eastAsia="en-GB" w:bidi="en-GB"/>
              </w:rPr>
            </w:pPr>
            <w:r w:rsidRPr="009827C2">
              <w:rPr>
                <w:rFonts w:eastAsia="Arial"/>
                <w:color w:val="221F1F"/>
                <w:lang w:eastAsia="en-GB" w:bidi="en-GB"/>
              </w:rPr>
              <w:t>premises approval</w:t>
            </w:r>
          </w:p>
        </w:tc>
        <w:tc>
          <w:tcPr>
            <w:tcW w:w="1984" w:type="dxa"/>
            <w:tcBorders>
              <w:top w:val="nil"/>
            </w:tcBorders>
          </w:tcPr>
          <w:p w14:paraId="2D0CDFE0" w14:textId="77777777" w:rsidR="002B7254" w:rsidRPr="009827C2" w:rsidRDefault="002B7254" w:rsidP="004F4BBD">
            <w:pPr>
              <w:widowControl w:val="0"/>
              <w:autoSpaceDE w:val="0"/>
              <w:autoSpaceDN w:val="0"/>
              <w:rPr>
                <w:rFonts w:eastAsia="Arial"/>
                <w:lang w:eastAsia="en-GB" w:bidi="en-GB"/>
              </w:rPr>
            </w:pPr>
          </w:p>
        </w:tc>
      </w:tr>
      <w:tr w:rsidR="002B7254" w:rsidRPr="009827C2" w14:paraId="7F6954F0" w14:textId="77777777" w:rsidTr="004F4BBD">
        <w:trPr>
          <w:trHeight w:val="828"/>
        </w:trPr>
        <w:tc>
          <w:tcPr>
            <w:tcW w:w="6116" w:type="dxa"/>
            <w:gridSpan w:val="2"/>
          </w:tcPr>
          <w:p w14:paraId="1C9847ED" w14:textId="77777777" w:rsidR="002B7254" w:rsidRPr="009827C2" w:rsidRDefault="002B7254" w:rsidP="004F4BBD">
            <w:pPr>
              <w:widowControl w:val="0"/>
              <w:autoSpaceDE w:val="0"/>
              <w:autoSpaceDN w:val="0"/>
              <w:spacing w:before="1" w:line="270" w:lineRule="atLeast"/>
              <w:ind w:left="196" w:right="237"/>
              <w:rPr>
                <w:rFonts w:eastAsia="Arial"/>
                <w:lang w:eastAsia="en-GB" w:bidi="en-GB"/>
              </w:rPr>
            </w:pPr>
            <w:r w:rsidRPr="009827C2">
              <w:rPr>
                <w:rFonts w:eastAsia="Arial"/>
                <w:color w:val="221F1F"/>
                <w:lang w:eastAsia="en-GB" w:bidi="en-GB"/>
              </w:rPr>
              <w:lastRenderedPageBreak/>
              <w:t>Regulation 61 – temporary arrangements during emergencies or circumstances beyond the control of a dispensing doctor</w:t>
            </w:r>
          </w:p>
        </w:tc>
        <w:tc>
          <w:tcPr>
            <w:tcW w:w="1984" w:type="dxa"/>
          </w:tcPr>
          <w:p w14:paraId="190C1409" w14:textId="77777777" w:rsidR="002B7254" w:rsidRPr="009827C2" w:rsidRDefault="002B7254" w:rsidP="004F4BBD">
            <w:pPr>
              <w:widowControl w:val="0"/>
              <w:autoSpaceDE w:val="0"/>
              <w:autoSpaceDN w:val="0"/>
              <w:spacing w:before="1"/>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5475526D" w14:textId="77777777" w:rsidTr="004F4BBD">
        <w:trPr>
          <w:trHeight w:val="551"/>
        </w:trPr>
        <w:tc>
          <w:tcPr>
            <w:tcW w:w="6116" w:type="dxa"/>
            <w:gridSpan w:val="2"/>
          </w:tcPr>
          <w:p w14:paraId="06EC79D2" w14:textId="77777777" w:rsidR="002B7254" w:rsidRPr="009827C2" w:rsidRDefault="002B7254" w:rsidP="004F4BBD">
            <w:pPr>
              <w:widowControl w:val="0"/>
              <w:autoSpaceDE w:val="0"/>
              <w:autoSpaceDN w:val="0"/>
              <w:spacing w:line="270" w:lineRule="atLeast"/>
              <w:ind w:left="196" w:right="650"/>
              <w:rPr>
                <w:rFonts w:eastAsia="Arial"/>
                <w:lang w:eastAsia="en-GB" w:bidi="en-GB"/>
              </w:rPr>
            </w:pPr>
            <w:r w:rsidRPr="009827C2">
              <w:rPr>
                <w:rFonts w:eastAsia="Arial"/>
                <w:color w:val="221F1F"/>
                <w:lang w:eastAsia="en-GB" w:bidi="en-GB"/>
              </w:rPr>
              <w:t>Regulation 65(5) to (7) – direction to increase core opening hours</w:t>
            </w:r>
          </w:p>
        </w:tc>
        <w:tc>
          <w:tcPr>
            <w:tcW w:w="1984" w:type="dxa"/>
          </w:tcPr>
          <w:p w14:paraId="390A1FDE" w14:textId="77777777" w:rsidR="002B7254" w:rsidRPr="009827C2" w:rsidRDefault="002B7254" w:rsidP="004F4BBD">
            <w:pPr>
              <w:widowControl w:val="0"/>
              <w:autoSpaceDE w:val="0"/>
              <w:autoSpaceDN w:val="0"/>
              <w:spacing w:line="270" w:lineRule="atLeast"/>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4FBDD249" w14:textId="77777777" w:rsidTr="004F4BBD">
        <w:trPr>
          <w:trHeight w:val="551"/>
        </w:trPr>
        <w:tc>
          <w:tcPr>
            <w:tcW w:w="6116" w:type="dxa"/>
            <w:gridSpan w:val="2"/>
          </w:tcPr>
          <w:p w14:paraId="33E80414" w14:textId="77777777" w:rsidR="002B7254" w:rsidRPr="009827C2" w:rsidRDefault="002B7254" w:rsidP="004F4BBD">
            <w:pPr>
              <w:widowControl w:val="0"/>
              <w:autoSpaceDE w:val="0"/>
              <w:autoSpaceDN w:val="0"/>
              <w:spacing w:before="4" w:line="276" w:lineRule="exact"/>
              <w:ind w:left="196" w:right="36"/>
              <w:rPr>
                <w:rFonts w:eastAsia="Arial"/>
                <w:lang w:eastAsia="en-GB" w:bidi="en-GB"/>
              </w:rPr>
            </w:pPr>
            <w:r w:rsidRPr="009827C2">
              <w:rPr>
                <w:rFonts w:eastAsia="Arial"/>
                <w:color w:val="221F1F"/>
                <w:lang w:eastAsia="en-GB" w:bidi="en-GB"/>
              </w:rPr>
              <w:t>Regulation 67 – agreement of a shorter notice period for withdrawal from a pharmaceutical list</w:t>
            </w:r>
          </w:p>
        </w:tc>
        <w:tc>
          <w:tcPr>
            <w:tcW w:w="1984" w:type="dxa"/>
          </w:tcPr>
          <w:p w14:paraId="66F13CFE" w14:textId="77777777" w:rsidR="002B7254" w:rsidRPr="009827C2" w:rsidRDefault="002B7254" w:rsidP="004F4BBD">
            <w:pPr>
              <w:widowControl w:val="0"/>
              <w:autoSpaceDE w:val="0"/>
              <w:autoSpaceDN w:val="0"/>
              <w:spacing w:line="276" w:lineRule="exact"/>
              <w:ind w:left="157"/>
              <w:rPr>
                <w:rFonts w:eastAsia="Arial"/>
                <w:lang w:eastAsia="en-GB" w:bidi="en-GB"/>
              </w:rPr>
            </w:pPr>
            <w:r w:rsidRPr="009827C2">
              <w:rPr>
                <w:rFonts w:eastAsia="Arial"/>
                <w:color w:val="221F1F"/>
                <w:lang w:eastAsia="en-GB" w:bidi="en-GB"/>
              </w:rPr>
              <w:t>Subcommittee</w:t>
            </w:r>
          </w:p>
        </w:tc>
      </w:tr>
      <w:tr w:rsidR="002B7254" w:rsidRPr="009827C2" w14:paraId="54D7FA1D" w14:textId="77777777" w:rsidTr="004F4BBD">
        <w:trPr>
          <w:trHeight w:val="546"/>
        </w:trPr>
        <w:tc>
          <w:tcPr>
            <w:tcW w:w="6116" w:type="dxa"/>
            <w:gridSpan w:val="2"/>
          </w:tcPr>
          <w:p w14:paraId="40391795" w14:textId="77777777" w:rsidR="002B7254" w:rsidRPr="009827C2" w:rsidRDefault="002B7254" w:rsidP="004F4BBD">
            <w:pPr>
              <w:widowControl w:val="0"/>
              <w:autoSpaceDE w:val="0"/>
              <w:autoSpaceDN w:val="0"/>
              <w:spacing w:line="271" w:lineRule="exact"/>
              <w:ind w:left="196"/>
              <w:rPr>
                <w:rFonts w:eastAsia="Arial"/>
                <w:lang w:eastAsia="en-GB" w:bidi="en-GB"/>
              </w:rPr>
            </w:pPr>
            <w:r w:rsidRPr="009827C2">
              <w:rPr>
                <w:rFonts w:eastAsia="Arial"/>
                <w:color w:val="221F1F"/>
                <w:lang w:eastAsia="en-GB" w:bidi="en-GB"/>
              </w:rPr>
              <w:t>Regulation 69 – determination of whether there has</w:t>
            </w:r>
          </w:p>
          <w:p w14:paraId="694A7988" w14:textId="77777777" w:rsidR="002B7254" w:rsidRPr="009827C2" w:rsidRDefault="002B7254" w:rsidP="004F4BBD">
            <w:pPr>
              <w:widowControl w:val="0"/>
              <w:autoSpaceDE w:val="0"/>
              <w:autoSpaceDN w:val="0"/>
              <w:spacing w:line="255" w:lineRule="exact"/>
              <w:ind w:left="196"/>
              <w:rPr>
                <w:rFonts w:eastAsia="Arial"/>
                <w:lang w:eastAsia="en-GB" w:bidi="en-GB"/>
              </w:rPr>
            </w:pPr>
            <w:r w:rsidRPr="009827C2">
              <w:rPr>
                <w:rFonts w:eastAsia="Arial"/>
                <w:color w:val="221F1F"/>
                <w:lang w:eastAsia="en-GB" w:bidi="en-GB"/>
              </w:rPr>
              <w:t>been a breach of terms of service</w:t>
            </w:r>
          </w:p>
        </w:tc>
        <w:tc>
          <w:tcPr>
            <w:tcW w:w="1984" w:type="dxa"/>
          </w:tcPr>
          <w:p w14:paraId="69253E68" w14:textId="77777777" w:rsidR="002B7254" w:rsidRPr="009827C2" w:rsidRDefault="002B7254" w:rsidP="004F4BBD">
            <w:pPr>
              <w:widowControl w:val="0"/>
              <w:autoSpaceDE w:val="0"/>
              <w:autoSpaceDN w:val="0"/>
              <w:spacing w:line="271" w:lineRule="exact"/>
              <w:ind w:left="157"/>
              <w:rPr>
                <w:rFonts w:eastAsia="Arial"/>
                <w:lang w:eastAsia="en-GB" w:bidi="en-GB"/>
              </w:rPr>
            </w:pPr>
            <w:r w:rsidRPr="009827C2">
              <w:rPr>
                <w:rFonts w:eastAsia="Arial"/>
                <w:color w:val="221F1F"/>
                <w:lang w:eastAsia="en-GB" w:bidi="en-GB"/>
              </w:rPr>
              <w:t>Subcommittee</w:t>
            </w:r>
          </w:p>
        </w:tc>
      </w:tr>
      <w:tr w:rsidR="002B7254" w:rsidRPr="009827C2" w14:paraId="62390BF2" w14:textId="77777777" w:rsidTr="004F4BBD">
        <w:trPr>
          <w:trHeight w:val="1380"/>
        </w:trPr>
        <w:tc>
          <w:tcPr>
            <w:tcW w:w="6116" w:type="dxa"/>
            <w:gridSpan w:val="2"/>
          </w:tcPr>
          <w:p w14:paraId="7CA31EAC" w14:textId="77777777" w:rsidR="002B7254" w:rsidRPr="009827C2" w:rsidRDefault="002B7254" w:rsidP="004F4BBD">
            <w:pPr>
              <w:widowControl w:val="0"/>
              <w:autoSpaceDE w:val="0"/>
              <w:autoSpaceDN w:val="0"/>
              <w:spacing w:before="1" w:line="270" w:lineRule="atLeast"/>
              <w:ind w:left="196" w:right="183"/>
              <w:rPr>
                <w:rFonts w:eastAsia="Arial"/>
                <w:lang w:eastAsia="en-GB" w:bidi="en-GB"/>
              </w:rPr>
            </w:pPr>
            <w:r w:rsidRPr="009827C2">
              <w:rPr>
                <w:rFonts w:eastAsia="Arial"/>
                <w:color w:val="221F1F"/>
                <w:lang w:eastAsia="en-GB" w:bidi="en-GB"/>
              </w:rPr>
              <w:t>Regulation 70 – determination of whether to issue a breach notice with or without an accompanying withholding of payments in connection with a breach of terms of service. Determination of whether to rescind a breach notice</w:t>
            </w:r>
          </w:p>
        </w:tc>
        <w:tc>
          <w:tcPr>
            <w:tcW w:w="1984" w:type="dxa"/>
          </w:tcPr>
          <w:p w14:paraId="18DC9B28" w14:textId="77777777" w:rsidR="002B7254" w:rsidRPr="009827C2" w:rsidRDefault="002B7254" w:rsidP="004F4BBD">
            <w:pPr>
              <w:widowControl w:val="0"/>
              <w:autoSpaceDE w:val="0"/>
              <w:autoSpaceDN w:val="0"/>
              <w:spacing w:before="1"/>
              <w:ind w:left="157"/>
              <w:rPr>
                <w:rFonts w:eastAsia="Arial"/>
                <w:lang w:eastAsia="en-GB" w:bidi="en-GB"/>
              </w:rPr>
            </w:pPr>
            <w:r w:rsidRPr="009827C2">
              <w:rPr>
                <w:rFonts w:eastAsia="Arial"/>
                <w:color w:val="221F1F"/>
                <w:lang w:eastAsia="en-GB" w:bidi="en-GB"/>
              </w:rPr>
              <w:t>Subcommittee</w:t>
            </w:r>
          </w:p>
        </w:tc>
      </w:tr>
      <w:tr w:rsidR="002B7254" w:rsidRPr="009827C2" w14:paraId="183F8E3F" w14:textId="77777777" w:rsidTr="004F4BBD">
        <w:trPr>
          <w:trHeight w:val="1379"/>
        </w:trPr>
        <w:tc>
          <w:tcPr>
            <w:tcW w:w="6116" w:type="dxa"/>
            <w:gridSpan w:val="2"/>
          </w:tcPr>
          <w:p w14:paraId="418C2884" w14:textId="77777777" w:rsidR="002B7254" w:rsidRPr="009827C2" w:rsidRDefault="002B7254" w:rsidP="004F4BBD">
            <w:pPr>
              <w:widowControl w:val="0"/>
              <w:autoSpaceDE w:val="0"/>
              <w:autoSpaceDN w:val="0"/>
              <w:spacing w:line="270" w:lineRule="atLeast"/>
              <w:ind w:left="196" w:right="183"/>
              <w:rPr>
                <w:rFonts w:eastAsia="Arial"/>
                <w:lang w:eastAsia="en-GB" w:bidi="en-GB"/>
              </w:rPr>
            </w:pPr>
            <w:r w:rsidRPr="009827C2">
              <w:rPr>
                <w:rFonts w:eastAsia="Arial"/>
                <w:color w:val="221F1F"/>
                <w:lang w:eastAsia="en-GB" w:bidi="en-GB"/>
              </w:rPr>
              <w:t>Regulation 71 – determination of whether to issue a remedial notice with or without an accompanying withholding of payments in connection with a breach of terms of service. Determination of whether to rescind a remedial notice</w:t>
            </w:r>
          </w:p>
        </w:tc>
        <w:tc>
          <w:tcPr>
            <w:tcW w:w="1984" w:type="dxa"/>
          </w:tcPr>
          <w:p w14:paraId="38FB357B"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Subcommittee</w:t>
            </w:r>
          </w:p>
        </w:tc>
      </w:tr>
      <w:tr w:rsidR="002B7254" w:rsidRPr="009827C2" w14:paraId="641557FD" w14:textId="77777777" w:rsidTr="004F4BBD">
        <w:trPr>
          <w:trHeight w:val="552"/>
        </w:trPr>
        <w:tc>
          <w:tcPr>
            <w:tcW w:w="6116" w:type="dxa"/>
            <w:gridSpan w:val="2"/>
          </w:tcPr>
          <w:p w14:paraId="5940C334" w14:textId="77777777" w:rsidR="002B7254" w:rsidRPr="009827C2" w:rsidRDefault="002B7254" w:rsidP="004F4BBD">
            <w:pPr>
              <w:widowControl w:val="0"/>
              <w:autoSpaceDE w:val="0"/>
              <w:autoSpaceDN w:val="0"/>
              <w:spacing w:line="270" w:lineRule="atLeast"/>
              <w:ind w:left="196" w:right="396"/>
              <w:rPr>
                <w:rFonts w:eastAsia="Arial"/>
                <w:lang w:eastAsia="en-GB" w:bidi="en-GB"/>
              </w:rPr>
            </w:pPr>
            <w:r w:rsidRPr="009827C2">
              <w:rPr>
                <w:rFonts w:eastAsia="Arial"/>
                <w:color w:val="221F1F"/>
                <w:lang w:eastAsia="en-GB" w:bidi="en-GB"/>
              </w:rPr>
              <w:t>Regulation 72 – determination of whether to withhold remuneration</w:t>
            </w:r>
          </w:p>
        </w:tc>
        <w:tc>
          <w:tcPr>
            <w:tcW w:w="1984" w:type="dxa"/>
          </w:tcPr>
          <w:p w14:paraId="248D8433"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Subcommittee</w:t>
            </w:r>
          </w:p>
        </w:tc>
      </w:tr>
      <w:tr w:rsidR="002B7254" w:rsidRPr="009827C2" w14:paraId="2E7DA010" w14:textId="77777777" w:rsidTr="004F4BBD">
        <w:trPr>
          <w:trHeight w:val="827"/>
        </w:trPr>
        <w:tc>
          <w:tcPr>
            <w:tcW w:w="6116" w:type="dxa"/>
            <w:gridSpan w:val="2"/>
          </w:tcPr>
          <w:p w14:paraId="21DD7F58" w14:textId="77777777" w:rsidR="002B7254" w:rsidRPr="009827C2" w:rsidRDefault="002B7254" w:rsidP="004F4BBD">
            <w:pPr>
              <w:widowControl w:val="0"/>
              <w:autoSpaceDE w:val="0"/>
              <w:autoSpaceDN w:val="0"/>
              <w:spacing w:line="270" w:lineRule="atLeast"/>
              <w:ind w:left="196" w:right="476"/>
              <w:rPr>
                <w:rFonts w:eastAsia="Arial"/>
                <w:lang w:eastAsia="en-GB" w:bidi="en-GB"/>
              </w:rPr>
            </w:pPr>
            <w:r w:rsidRPr="009827C2">
              <w:rPr>
                <w:rFonts w:eastAsia="Arial"/>
                <w:color w:val="221F1F"/>
                <w:lang w:eastAsia="en-GB" w:bidi="en-GB"/>
              </w:rPr>
              <w:t>Regulation 73 – determination of whether to remove premises or a chemist from the pharmaceutical list (following remedial or breach notice)</w:t>
            </w:r>
          </w:p>
        </w:tc>
        <w:tc>
          <w:tcPr>
            <w:tcW w:w="1984" w:type="dxa"/>
          </w:tcPr>
          <w:p w14:paraId="496B252A"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Subcommittee</w:t>
            </w:r>
          </w:p>
        </w:tc>
      </w:tr>
      <w:tr w:rsidR="002B7254" w:rsidRPr="009827C2" w14:paraId="75255D0E" w14:textId="77777777" w:rsidTr="004F4BBD">
        <w:trPr>
          <w:trHeight w:val="827"/>
        </w:trPr>
        <w:tc>
          <w:tcPr>
            <w:tcW w:w="6116" w:type="dxa"/>
            <w:gridSpan w:val="2"/>
          </w:tcPr>
          <w:p w14:paraId="24725D8E" w14:textId="77777777" w:rsidR="002B7254" w:rsidRPr="009827C2" w:rsidRDefault="002B7254" w:rsidP="004F4BBD">
            <w:pPr>
              <w:widowControl w:val="0"/>
              <w:autoSpaceDE w:val="0"/>
              <w:autoSpaceDN w:val="0"/>
              <w:spacing w:before="1" w:line="270" w:lineRule="atLeast"/>
              <w:ind w:left="196" w:right="476"/>
              <w:rPr>
                <w:rFonts w:eastAsia="Arial"/>
                <w:lang w:eastAsia="en-GB" w:bidi="en-GB"/>
              </w:rPr>
            </w:pPr>
            <w:r w:rsidRPr="009827C2">
              <w:rPr>
                <w:rFonts w:eastAsia="Arial"/>
                <w:color w:val="221F1F"/>
                <w:lang w:eastAsia="en-GB" w:bidi="en-GB"/>
              </w:rPr>
              <w:t>Regulation 74 – determination of whether to remove premises or a chemist from the pharmaceutical list (death, incapacity or cessation of service)</w:t>
            </w:r>
          </w:p>
        </w:tc>
        <w:tc>
          <w:tcPr>
            <w:tcW w:w="1984" w:type="dxa"/>
          </w:tcPr>
          <w:p w14:paraId="527BDEF6" w14:textId="77777777" w:rsidR="002B7254" w:rsidRPr="009827C2" w:rsidRDefault="002B7254" w:rsidP="004F4BBD">
            <w:pPr>
              <w:widowControl w:val="0"/>
              <w:autoSpaceDE w:val="0"/>
              <w:autoSpaceDN w:val="0"/>
              <w:spacing w:before="1"/>
              <w:ind w:left="157"/>
              <w:rPr>
                <w:rFonts w:eastAsia="Arial"/>
                <w:lang w:eastAsia="en-GB" w:bidi="en-GB"/>
              </w:rPr>
            </w:pPr>
            <w:r w:rsidRPr="009827C2">
              <w:rPr>
                <w:rFonts w:eastAsia="Arial"/>
                <w:color w:val="221F1F"/>
                <w:lang w:eastAsia="en-GB" w:bidi="en-GB"/>
              </w:rPr>
              <w:t>Subcommittee</w:t>
            </w:r>
          </w:p>
        </w:tc>
      </w:tr>
      <w:tr w:rsidR="002B7254" w:rsidRPr="009827C2" w14:paraId="18CFD53C" w14:textId="77777777" w:rsidTr="004F4BBD">
        <w:trPr>
          <w:trHeight w:val="826"/>
        </w:trPr>
        <w:tc>
          <w:tcPr>
            <w:tcW w:w="6116" w:type="dxa"/>
            <w:gridSpan w:val="2"/>
          </w:tcPr>
          <w:p w14:paraId="356FCC2F" w14:textId="77777777" w:rsidR="002B7254" w:rsidRPr="009827C2" w:rsidRDefault="002B7254" w:rsidP="004F4BBD">
            <w:pPr>
              <w:widowControl w:val="0"/>
              <w:autoSpaceDE w:val="0"/>
              <w:autoSpaceDN w:val="0"/>
              <w:spacing w:before="4" w:line="276" w:lineRule="exact"/>
              <w:ind w:left="196" w:right="743"/>
              <w:rPr>
                <w:rFonts w:eastAsia="Arial"/>
                <w:lang w:eastAsia="en-GB" w:bidi="en-GB"/>
              </w:rPr>
            </w:pPr>
            <w:r w:rsidRPr="009827C2">
              <w:rPr>
                <w:rFonts w:eastAsia="Arial"/>
                <w:color w:val="221F1F"/>
                <w:lang w:eastAsia="en-GB" w:bidi="en-GB"/>
              </w:rPr>
              <w:t>Regulation 79 – determination of review of fitness conditions originally imposed on the grant of an application</w:t>
            </w:r>
          </w:p>
        </w:tc>
        <w:tc>
          <w:tcPr>
            <w:tcW w:w="1984" w:type="dxa"/>
          </w:tcPr>
          <w:p w14:paraId="1CF908B5" w14:textId="77777777" w:rsidR="002B7254" w:rsidRPr="009827C2" w:rsidRDefault="002B7254" w:rsidP="004F4BBD">
            <w:pPr>
              <w:widowControl w:val="0"/>
              <w:autoSpaceDE w:val="0"/>
              <w:autoSpaceDN w:val="0"/>
              <w:ind w:left="157" w:right="214"/>
              <w:rPr>
                <w:rFonts w:eastAsia="Arial"/>
                <w:lang w:eastAsia="en-GB" w:bidi="en-GB"/>
              </w:rPr>
            </w:pPr>
            <w:r w:rsidRPr="009827C2">
              <w:rPr>
                <w:rFonts w:eastAsia="Arial"/>
                <w:color w:val="221F1F"/>
                <w:lang w:eastAsia="en-GB" w:bidi="en-GB"/>
              </w:rPr>
              <w:t>Subcommittee or PLDP</w:t>
            </w:r>
          </w:p>
        </w:tc>
      </w:tr>
      <w:tr w:rsidR="002B7254" w:rsidRPr="009827C2" w14:paraId="7F24D3FB" w14:textId="77777777" w:rsidTr="004F4BBD">
        <w:trPr>
          <w:trHeight w:val="546"/>
        </w:trPr>
        <w:tc>
          <w:tcPr>
            <w:tcW w:w="6116" w:type="dxa"/>
            <w:gridSpan w:val="2"/>
          </w:tcPr>
          <w:p w14:paraId="78340B3A" w14:textId="77777777" w:rsidR="002B7254" w:rsidRPr="009827C2" w:rsidRDefault="002B7254" w:rsidP="004F4BBD">
            <w:pPr>
              <w:widowControl w:val="0"/>
              <w:autoSpaceDE w:val="0"/>
              <w:autoSpaceDN w:val="0"/>
              <w:spacing w:line="271" w:lineRule="exact"/>
              <w:ind w:left="196"/>
              <w:rPr>
                <w:rFonts w:eastAsia="Arial"/>
                <w:lang w:eastAsia="en-GB" w:bidi="en-GB"/>
              </w:rPr>
            </w:pPr>
            <w:r w:rsidRPr="009827C2">
              <w:rPr>
                <w:rFonts w:eastAsia="Arial"/>
                <w:color w:val="221F1F"/>
                <w:lang w:eastAsia="en-GB" w:bidi="en-GB"/>
              </w:rPr>
              <w:t>Regulation 80 – determination of removal of a contractor</w:t>
            </w:r>
          </w:p>
          <w:p w14:paraId="7F9FA541" w14:textId="77777777" w:rsidR="002B7254" w:rsidRPr="009827C2" w:rsidRDefault="002B7254" w:rsidP="004F4BBD">
            <w:pPr>
              <w:widowControl w:val="0"/>
              <w:autoSpaceDE w:val="0"/>
              <w:autoSpaceDN w:val="0"/>
              <w:spacing w:line="255" w:lineRule="exact"/>
              <w:ind w:left="196"/>
              <w:rPr>
                <w:rFonts w:eastAsia="Arial"/>
                <w:lang w:eastAsia="en-GB" w:bidi="en-GB"/>
              </w:rPr>
            </w:pPr>
            <w:r w:rsidRPr="009827C2">
              <w:rPr>
                <w:rFonts w:eastAsia="Arial"/>
                <w:color w:val="221F1F"/>
                <w:lang w:eastAsia="en-GB" w:bidi="en-GB"/>
              </w:rPr>
              <w:t>for breach of fitness conditions</w:t>
            </w:r>
          </w:p>
        </w:tc>
        <w:tc>
          <w:tcPr>
            <w:tcW w:w="1984" w:type="dxa"/>
          </w:tcPr>
          <w:p w14:paraId="2A93B21D" w14:textId="77777777" w:rsidR="002B7254" w:rsidRPr="009827C2" w:rsidRDefault="002B7254" w:rsidP="004F4BBD">
            <w:pPr>
              <w:widowControl w:val="0"/>
              <w:autoSpaceDE w:val="0"/>
              <w:autoSpaceDN w:val="0"/>
              <w:spacing w:line="255" w:lineRule="exact"/>
              <w:ind w:left="157"/>
              <w:rPr>
                <w:rFonts w:eastAsia="Arial"/>
                <w:lang w:eastAsia="en-GB" w:bidi="en-GB"/>
              </w:rPr>
            </w:pPr>
            <w:r w:rsidRPr="009827C2">
              <w:rPr>
                <w:rFonts w:eastAsia="Arial"/>
                <w:color w:val="221F1F"/>
                <w:lang w:eastAsia="en-GB" w:bidi="en-GB"/>
              </w:rPr>
              <w:t>Subcommittee or PLDP</w:t>
            </w:r>
          </w:p>
        </w:tc>
      </w:tr>
      <w:tr w:rsidR="002B7254" w:rsidRPr="009827C2" w14:paraId="4FD33282" w14:textId="77777777" w:rsidTr="004F4BBD">
        <w:trPr>
          <w:trHeight w:val="552"/>
        </w:trPr>
        <w:tc>
          <w:tcPr>
            <w:tcW w:w="6116" w:type="dxa"/>
            <w:gridSpan w:val="2"/>
          </w:tcPr>
          <w:p w14:paraId="42E52F08" w14:textId="77777777" w:rsidR="002B7254" w:rsidRPr="009827C2" w:rsidRDefault="002B7254" w:rsidP="004F4BBD">
            <w:pPr>
              <w:widowControl w:val="0"/>
              <w:autoSpaceDE w:val="0"/>
              <w:autoSpaceDN w:val="0"/>
              <w:spacing w:before="1" w:line="270" w:lineRule="atLeast"/>
              <w:ind w:left="196" w:right="529"/>
              <w:rPr>
                <w:rFonts w:eastAsia="Arial"/>
                <w:lang w:eastAsia="en-GB" w:bidi="en-GB"/>
              </w:rPr>
            </w:pPr>
            <w:r w:rsidRPr="009827C2">
              <w:rPr>
                <w:rFonts w:eastAsia="Arial"/>
                <w:color w:val="221F1F"/>
                <w:lang w:eastAsia="en-GB" w:bidi="en-GB"/>
              </w:rPr>
              <w:t>Regulation 81 and 82 – determination of removal or contingent removal</w:t>
            </w:r>
          </w:p>
        </w:tc>
        <w:tc>
          <w:tcPr>
            <w:tcW w:w="1984" w:type="dxa"/>
          </w:tcPr>
          <w:p w14:paraId="6D4A20A4" w14:textId="77777777" w:rsidR="002B7254" w:rsidRPr="009827C2" w:rsidRDefault="002B7254" w:rsidP="004F4BBD">
            <w:pPr>
              <w:widowControl w:val="0"/>
              <w:autoSpaceDE w:val="0"/>
              <w:autoSpaceDN w:val="0"/>
              <w:spacing w:before="1" w:line="270" w:lineRule="atLeast"/>
              <w:ind w:left="157" w:right="214"/>
              <w:rPr>
                <w:rFonts w:eastAsia="Arial"/>
                <w:lang w:eastAsia="en-GB" w:bidi="en-GB"/>
              </w:rPr>
            </w:pPr>
            <w:r w:rsidRPr="009827C2">
              <w:rPr>
                <w:rFonts w:eastAsia="Arial"/>
                <w:color w:val="221F1F"/>
                <w:lang w:eastAsia="en-GB" w:bidi="en-GB"/>
              </w:rPr>
              <w:t>Subcommittee or PLDP</w:t>
            </w:r>
          </w:p>
        </w:tc>
      </w:tr>
      <w:tr w:rsidR="002B7254" w:rsidRPr="009827C2" w14:paraId="1814FEFE" w14:textId="77777777" w:rsidTr="004F4BBD">
        <w:trPr>
          <w:trHeight w:val="551"/>
        </w:trPr>
        <w:tc>
          <w:tcPr>
            <w:tcW w:w="6116" w:type="dxa"/>
            <w:gridSpan w:val="2"/>
          </w:tcPr>
          <w:p w14:paraId="744573AC" w14:textId="77777777" w:rsidR="002B7254" w:rsidRPr="009827C2" w:rsidRDefault="002B7254" w:rsidP="004F4BBD">
            <w:pPr>
              <w:widowControl w:val="0"/>
              <w:autoSpaceDE w:val="0"/>
              <w:autoSpaceDN w:val="0"/>
              <w:ind w:left="196"/>
              <w:rPr>
                <w:rFonts w:eastAsia="Arial"/>
                <w:lang w:eastAsia="en-GB" w:bidi="en-GB"/>
              </w:rPr>
            </w:pPr>
            <w:r w:rsidRPr="009827C2">
              <w:rPr>
                <w:rFonts w:eastAsia="Arial"/>
                <w:color w:val="221F1F"/>
                <w:lang w:eastAsia="en-GB" w:bidi="en-GB"/>
              </w:rPr>
              <w:t>Regulation 83 – suspensions in fitness cases</w:t>
            </w:r>
          </w:p>
        </w:tc>
        <w:tc>
          <w:tcPr>
            <w:tcW w:w="1984" w:type="dxa"/>
          </w:tcPr>
          <w:p w14:paraId="27739482" w14:textId="77777777" w:rsidR="002B7254" w:rsidRPr="009827C2" w:rsidRDefault="002B7254" w:rsidP="004F4BBD">
            <w:pPr>
              <w:widowControl w:val="0"/>
              <w:autoSpaceDE w:val="0"/>
              <w:autoSpaceDN w:val="0"/>
              <w:spacing w:line="270" w:lineRule="atLeast"/>
              <w:ind w:left="157" w:right="214"/>
              <w:rPr>
                <w:rFonts w:eastAsia="Arial"/>
                <w:lang w:eastAsia="en-GB" w:bidi="en-GB"/>
              </w:rPr>
            </w:pPr>
            <w:r w:rsidRPr="009827C2">
              <w:rPr>
                <w:rFonts w:eastAsia="Arial"/>
                <w:color w:val="221F1F"/>
                <w:lang w:eastAsia="en-GB" w:bidi="en-GB"/>
              </w:rPr>
              <w:t>Subcommittee or PLDP</w:t>
            </w:r>
          </w:p>
        </w:tc>
      </w:tr>
      <w:tr w:rsidR="002B7254" w:rsidRPr="009827C2" w14:paraId="4371FA72" w14:textId="77777777" w:rsidTr="004F4BBD">
        <w:trPr>
          <w:trHeight w:val="550"/>
        </w:trPr>
        <w:tc>
          <w:tcPr>
            <w:tcW w:w="6116" w:type="dxa"/>
            <w:gridSpan w:val="2"/>
          </w:tcPr>
          <w:p w14:paraId="78871FDA" w14:textId="77777777" w:rsidR="002B7254" w:rsidRPr="009827C2" w:rsidRDefault="002B7254" w:rsidP="004F4BBD">
            <w:pPr>
              <w:widowControl w:val="0"/>
              <w:autoSpaceDE w:val="0"/>
              <w:autoSpaceDN w:val="0"/>
              <w:spacing w:before="4" w:line="276" w:lineRule="exact"/>
              <w:ind w:left="196" w:right="196"/>
              <w:rPr>
                <w:rFonts w:eastAsia="Arial"/>
                <w:lang w:eastAsia="en-GB" w:bidi="en-GB"/>
              </w:rPr>
            </w:pPr>
            <w:r w:rsidRPr="009827C2">
              <w:rPr>
                <w:rFonts w:eastAsia="Arial"/>
                <w:color w:val="221F1F"/>
                <w:lang w:eastAsia="en-GB" w:bidi="en-GB"/>
              </w:rPr>
              <w:t>Regulation 84 – reviewing suspensions and contingent removal conditions</w:t>
            </w:r>
          </w:p>
        </w:tc>
        <w:tc>
          <w:tcPr>
            <w:tcW w:w="1984" w:type="dxa"/>
          </w:tcPr>
          <w:p w14:paraId="72DDD645" w14:textId="77777777" w:rsidR="002B7254" w:rsidRPr="009827C2" w:rsidRDefault="002B7254" w:rsidP="004F4BBD">
            <w:pPr>
              <w:widowControl w:val="0"/>
              <w:autoSpaceDE w:val="0"/>
              <w:autoSpaceDN w:val="0"/>
              <w:spacing w:before="4" w:line="276" w:lineRule="exact"/>
              <w:ind w:left="157" w:right="214"/>
              <w:rPr>
                <w:rFonts w:eastAsia="Arial"/>
                <w:lang w:eastAsia="en-GB" w:bidi="en-GB"/>
              </w:rPr>
            </w:pPr>
            <w:r w:rsidRPr="009827C2">
              <w:rPr>
                <w:rFonts w:eastAsia="Arial"/>
                <w:color w:val="221F1F"/>
                <w:lang w:eastAsia="en-GB" w:bidi="en-GB"/>
              </w:rPr>
              <w:t>Subcommittee or PLDP</w:t>
            </w:r>
          </w:p>
        </w:tc>
      </w:tr>
      <w:tr w:rsidR="002B7254" w:rsidRPr="009827C2" w14:paraId="18859123" w14:textId="77777777" w:rsidTr="004F4BBD">
        <w:trPr>
          <w:trHeight w:val="546"/>
        </w:trPr>
        <w:tc>
          <w:tcPr>
            <w:tcW w:w="6116" w:type="dxa"/>
            <w:gridSpan w:val="2"/>
          </w:tcPr>
          <w:p w14:paraId="06A1B81E" w14:textId="77777777" w:rsidR="002B7254" w:rsidRPr="009827C2" w:rsidRDefault="002B7254" w:rsidP="004F4BBD">
            <w:pPr>
              <w:widowControl w:val="0"/>
              <w:autoSpaceDE w:val="0"/>
              <w:autoSpaceDN w:val="0"/>
              <w:spacing w:line="271" w:lineRule="exact"/>
              <w:ind w:left="196"/>
              <w:rPr>
                <w:rFonts w:eastAsia="Arial"/>
                <w:lang w:eastAsia="en-GB" w:bidi="en-GB"/>
              </w:rPr>
            </w:pPr>
            <w:r w:rsidRPr="009827C2">
              <w:rPr>
                <w:rFonts w:eastAsia="Arial"/>
                <w:color w:val="221F1F"/>
                <w:lang w:eastAsia="en-GB" w:bidi="en-GB"/>
              </w:rPr>
              <w:t>Regulation 85 – general power to revoke suspensions in</w:t>
            </w:r>
          </w:p>
          <w:p w14:paraId="0520FC11" w14:textId="77777777" w:rsidR="002B7254" w:rsidRPr="009827C2" w:rsidRDefault="002B7254" w:rsidP="004F4BBD">
            <w:pPr>
              <w:widowControl w:val="0"/>
              <w:autoSpaceDE w:val="0"/>
              <w:autoSpaceDN w:val="0"/>
              <w:spacing w:line="255" w:lineRule="exact"/>
              <w:ind w:left="196"/>
              <w:rPr>
                <w:rFonts w:eastAsia="Arial"/>
                <w:lang w:eastAsia="en-GB" w:bidi="en-GB"/>
              </w:rPr>
            </w:pPr>
            <w:r w:rsidRPr="009827C2">
              <w:rPr>
                <w:rFonts w:eastAsia="Arial"/>
                <w:color w:val="221F1F"/>
                <w:lang w:eastAsia="en-GB" w:bidi="en-GB"/>
              </w:rPr>
              <w:t>appropriate circumstances</w:t>
            </w:r>
          </w:p>
        </w:tc>
        <w:tc>
          <w:tcPr>
            <w:tcW w:w="1984" w:type="dxa"/>
          </w:tcPr>
          <w:p w14:paraId="5D72CF3F" w14:textId="77777777" w:rsidR="002B7254" w:rsidRPr="009827C2" w:rsidRDefault="002B7254" w:rsidP="004F4BBD">
            <w:pPr>
              <w:widowControl w:val="0"/>
              <w:autoSpaceDE w:val="0"/>
              <w:autoSpaceDN w:val="0"/>
              <w:spacing w:line="255" w:lineRule="exact"/>
              <w:ind w:left="157"/>
              <w:rPr>
                <w:rFonts w:eastAsia="Arial"/>
                <w:lang w:eastAsia="en-GB" w:bidi="en-GB"/>
              </w:rPr>
            </w:pPr>
            <w:r w:rsidRPr="009827C2">
              <w:rPr>
                <w:rFonts w:eastAsia="Arial"/>
                <w:color w:val="221F1F"/>
                <w:lang w:eastAsia="en-GB" w:bidi="en-GB"/>
              </w:rPr>
              <w:t>Subcommittee or PLDP</w:t>
            </w:r>
          </w:p>
        </w:tc>
      </w:tr>
      <w:tr w:rsidR="002B7254" w:rsidRPr="009827C2" w14:paraId="498524C0" w14:textId="77777777" w:rsidTr="004F4BBD">
        <w:trPr>
          <w:trHeight w:val="276"/>
        </w:trPr>
        <w:tc>
          <w:tcPr>
            <w:tcW w:w="6116" w:type="dxa"/>
            <w:gridSpan w:val="2"/>
          </w:tcPr>
          <w:p w14:paraId="571D98BF" w14:textId="77777777" w:rsidR="002B7254" w:rsidRPr="009827C2" w:rsidRDefault="002B7254" w:rsidP="004F4BBD">
            <w:pPr>
              <w:widowControl w:val="0"/>
              <w:autoSpaceDE w:val="0"/>
              <w:autoSpaceDN w:val="0"/>
              <w:spacing w:before="1" w:line="255" w:lineRule="exact"/>
              <w:ind w:left="196"/>
              <w:rPr>
                <w:rFonts w:eastAsia="Arial"/>
                <w:lang w:eastAsia="en-GB" w:bidi="en-GB"/>
              </w:rPr>
            </w:pPr>
            <w:r w:rsidRPr="009827C2">
              <w:rPr>
                <w:rFonts w:eastAsia="Arial"/>
                <w:color w:val="221F1F"/>
                <w:lang w:eastAsia="en-GB" w:bidi="en-GB"/>
              </w:rPr>
              <w:t>Regulation 94 – overpayments</w:t>
            </w:r>
          </w:p>
        </w:tc>
        <w:tc>
          <w:tcPr>
            <w:tcW w:w="1984" w:type="dxa"/>
          </w:tcPr>
          <w:p w14:paraId="2579B799" w14:textId="77777777" w:rsidR="002B7254" w:rsidRPr="009827C2" w:rsidRDefault="002B7254" w:rsidP="004F4BBD">
            <w:pPr>
              <w:widowControl w:val="0"/>
              <w:autoSpaceDE w:val="0"/>
              <w:autoSpaceDN w:val="0"/>
              <w:spacing w:before="1" w:line="255" w:lineRule="exact"/>
              <w:ind w:left="157"/>
              <w:rPr>
                <w:rFonts w:eastAsia="Arial"/>
                <w:lang w:eastAsia="en-GB" w:bidi="en-GB"/>
              </w:rPr>
            </w:pPr>
            <w:r w:rsidRPr="009827C2">
              <w:rPr>
                <w:rFonts w:eastAsia="Arial"/>
                <w:color w:val="221F1F"/>
                <w:lang w:eastAsia="en-GB" w:bidi="en-GB"/>
              </w:rPr>
              <w:t>Subcommittee</w:t>
            </w:r>
          </w:p>
        </w:tc>
      </w:tr>
      <w:tr w:rsidR="002B7254" w:rsidRPr="009827C2" w14:paraId="16A3D76B" w14:textId="77777777" w:rsidTr="004F4BBD">
        <w:trPr>
          <w:trHeight w:val="275"/>
        </w:trPr>
        <w:tc>
          <w:tcPr>
            <w:tcW w:w="6116" w:type="dxa"/>
            <w:gridSpan w:val="2"/>
          </w:tcPr>
          <w:p w14:paraId="13DFAE1F" w14:textId="77777777" w:rsidR="002B7254" w:rsidRPr="009827C2" w:rsidRDefault="002B7254" w:rsidP="004F4BBD">
            <w:pPr>
              <w:widowControl w:val="0"/>
              <w:autoSpaceDE w:val="0"/>
              <w:autoSpaceDN w:val="0"/>
              <w:spacing w:line="255" w:lineRule="exact"/>
              <w:ind w:left="196"/>
              <w:rPr>
                <w:rFonts w:eastAsia="Arial"/>
                <w:lang w:eastAsia="en-GB" w:bidi="en-GB"/>
              </w:rPr>
            </w:pPr>
            <w:r w:rsidRPr="009827C2">
              <w:rPr>
                <w:rFonts w:eastAsia="Arial"/>
                <w:color w:val="221F1F"/>
                <w:lang w:eastAsia="en-GB" w:bidi="en-GB"/>
              </w:rPr>
              <w:t>Regulation 99 – designation of an LPS area</w:t>
            </w:r>
          </w:p>
        </w:tc>
        <w:tc>
          <w:tcPr>
            <w:tcW w:w="1984" w:type="dxa"/>
          </w:tcPr>
          <w:p w14:paraId="0727A2F9" w14:textId="77777777" w:rsidR="002B7254" w:rsidRPr="009827C2" w:rsidRDefault="002B7254" w:rsidP="004F4BBD">
            <w:pPr>
              <w:widowControl w:val="0"/>
              <w:autoSpaceDE w:val="0"/>
              <w:autoSpaceDN w:val="0"/>
              <w:spacing w:line="255" w:lineRule="exact"/>
              <w:ind w:left="157"/>
              <w:rPr>
                <w:rFonts w:eastAsia="Arial"/>
                <w:lang w:eastAsia="en-GB" w:bidi="en-GB"/>
              </w:rPr>
            </w:pPr>
            <w:r w:rsidRPr="009827C2">
              <w:rPr>
                <w:rFonts w:eastAsia="Arial"/>
                <w:color w:val="221F1F"/>
                <w:lang w:eastAsia="en-GB" w:bidi="en-GB"/>
              </w:rPr>
              <w:t>Subcommittee</w:t>
            </w:r>
          </w:p>
        </w:tc>
      </w:tr>
      <w:tr w:rsidR="002B7254" w:rsidRPr="009827C2" w14:paraId="4DD107A0" w14:textId="77777777" w:rsidTr="004F4BBD">
        <w:trPr>
          <w:trHeight w:val="275"/>
        </w:trPr>
        <w:tc>
          <w:tcPr>
            <w:tcW w:w="6116" w:type="dxa"/>
            <w:gridSpan w:val="2"/>
          </w:tcPr>
          <w:p w14:paraId="268BD6C0" w14:textId="77777777" w:rsidR="002B7254" w:rsidRPr="009827C2" w:rsidRDefault="002B7254" w:rsidP="004F4BBD">
            <w:pPr>
              <w:widowControl w:val="0"/>
              <w:autoSpaceDE w:val="0"/>
              <w:autoSpaceDN w:val="0"/>
              <w:spacing w:line="255" w:lineRule="exact"/>
              <w:ind w:left="196"/>
              <w:rPr>
                <w:rFonts w:eastAsia="Arial"/>
                <w:lang w:eastAsia="en-GB" w:bidi="en-GB"/>
              </w:rPr>
            </w:pPr>
            <w:r w:rsidRPr="009827C2">
              <w:rPr>
                <w:rFonts w:eastAsia="Arial"/>
                <w:color w:val="221F1F"/>
                <w:lang w:eastAsia="en-GB" w:bidi="en-GB"/>
              </w:rPr>
              <w:t>Regulation 100 – review of designation of an LPS area</w:t>
            </w:r>
          </w:p>
        </w:tc>
        <w:tc>
          <w:tcPr>
            <w:tcW w:w="1984" w:type="dxa"/>
          </w:tcPr>
          <w:p w14:paraId="5DBA4409" w14:textId="77777777" w:rsidR="002B7254" w:rsidRPr="009827C2" w:rsidRDefault="002B7254" w:rsidP="004F4BBD">
            <w:pPr>
              <w:widowControl w:val="0"/>
              <w:autoSpaceDE w:val="0"/>
              <w:autoSpaceDN w:val="0"/>
              <w:spacing w:line="255" w:lineRule="exact"/>
              <w:ind w:left="157"/>
              <w:rPr>
                <w:rFonts w:eastAsia="Arial"/>
                <w:lang w:eastAsia="en-GB" w:bidi="en-GB"/>
              </w:rPr>
            </w:pPr>
            <w:r w:rsidRPr="009827C2">
              <w:rPr>
                <w:rFonts w:eastAsia="Arial"/>
                <w:color w:val="221F1F"/>
                <w:lang w:eastAsia="en-GB" w:bidi="en-GB"/>
              </w:rPr>
              <w:t>Subcommittee</w:t>
            </w:r>
          </w:p>
        </w:tc>
      </w:tr>
      <w:tr w:rsidR="002B7254" w:rsidRPr="009827C2" w14:paraId="73439725" w14:textId="77777777" w:rsidTr="004F4BBD">
        <w:trPr>
          <w:trHeight w:val="276"/>
        </w:trPr>
        <w:tc>
          <w:tcPr>
            <w:tcW w:w="6116" w:type="dxa"/>
            <w:gridSpan w:val="2"/>
          </w:tcPr>
          <w:p w14:paraId="671E76B7" w14:textId="77777777" w:rsidR="002B7254" w:rsidRPr="009827C2" w:rsidRDefault="002B7254" w:rsidP="004F4BBD">
            <w:pPr>
              <w:widowControl w:val="0"/>
              <w:autoSpaceDE w:val="0"/>
              <w:autoSpaceDN w:val="0"/>
              <w:spacing w:before="1" w:line="255" w:lineRule="exact"/>
              <w:ind w:left="196"/>
              <w:rPr>
                <w:rFonts w:eastAsia="Arial"/>
                <w:lang w:eastAsia="en-GB" w:bidi="en-GB"/>
              </w:rPr>
            </w:pPr>
            <w:r w:rsidRPr="009827C2">
              <w:rPr>
                <w:rFonts w:eastAsia="Arial"/>
                <w:color w:val="221F1F"/>
                <w:lang w:eastAsia="en-GB" w:bidi="en-GB"/>
              </w:rPr>
              <w:t>Regulation 101 – cancellation of an LPS area</w:t>
            </w:r>
          </w:p>
        </w:tc>
        <w:tc>
          <w:tcPr>
            <w:tcW w:w="1984" w:type="dxa"/>
          </w:tcPr>
          <w:p w14:paraId="16BD3269" w14:textId="77777777" w:rsidR="002B7254" w:rsidRPr="009827C2" w:rsidRDefault="002B7254" w:rsidP="004F4BBD">
            <w:pPr>
              <w:widowControl w:val="0"/>
              <w:autoSpaceDE w:val="0"/>
              <w:autoSpaceDN w:val="0"/>
              <w:spacing w:before="1" w:line="255" w:lineRule="exact"/>
              <w:ind w:left="157"/>
              <w:rPr>
                <w:rFonts w:eastAsia="Arial"/>
                <w:lang w:eastAsia="en-GB" w:bidi="en-GB"/>
              </w:rPr>
            </w:pPr>
            <w:r w:rsidRPr="009827C2">
              <w:rPr>
                <w:rFonts w:eastAsia="Arial"/>
                <w:color w:val="221F1F"/>
                <w:lang w:eastAsia="en-GB" w:bidi="en-GB"/>
              </w:rPr>
              <w:t>Subcommittee</w:t>
            </w:r>
          </w:p>
        </w:tc>
      </w:tr>
      <w:tr w:rsidR="002B7254" w:rsidRPr="009827C2" w14:paraId="0BBCFCE4" w14:textId="77777777" w:rsidTr="002B7254">
        <w:trPr>
          <w:trHeight w:val="561"/>
        </w:trPr>
        <w:tc>
          <w:tcPr>
            <w:tcW w:w="6116" w:type="dxa"/>
            <w:gridSpan w:val="2"/>
            <w:tcBorders>
              <w:top w:val="nil"/>
              <w:left w:val="nil"/>
              <w:bottom w:val="nil"/>
              <w:right w:val="nil"/>
            </w:tcBorders>
            <w:shd w:val="clear" w:color="auto" w:fill="EEECE1" w:themeFill="background2"/>
          </w:tcPr>
          <w:p w14:paraId="030A5EB5" w14:textId="77777777" w:rsidR="002B7254" w:rsidRPr="009827C2" w:rsidRDefault="002B7254" w:rsidP="004F4BBD">
            <w:pPr>
              <w:widowControl w:val="0"/>
              <w:autoSpaceDE w:val="0"/>
              <w:autoSpaceDN w:val="0"/>
              <w:ind w:left="196"/>
              <w:rPr>
                <w:rFonts w:eastAsia="Arial"/>
                <w:b/>
                <w:lang w:eastAsia="en-GB" w:bidi="en-GB"/>
              </w:rPr>
            </w:pPr>
            <w:r w:rsidRPr="009827C2">
              <w:rPr>
                <w:rFonts w:eastAsia="Arial"/>
                <w:b/>
                <w:lang w:eastAsia="en-GB" w:bidi="en-GB"/>
              </w:rPr>
              <w:lastRenderedPageBreak/>
              <w:t>Regulatory provision</w:t>
            </w:r>
          </w:p>
        </w:tc>
        <w:tc>
          <w:tcPr>
            <w:tcW w:w="1984" w:type="dxa"/>
            <w:tcBorders>
              <w:top w:val="nil"/>
              <w:left w:val="nil"/>
              <w:bottom w:val="nil"/>
              <w:right w:val="nil"/>
            </w:tcBorders>
            <w:shd w:val="clear" w:color="auto" w:fill="EEECE1" w:themeFill="background2"/>
          </w:tcPr>
          <w:p w14:paraId="3FDFE766" w14:textId="77777777" w:rsidR="002B7254" w:rsidRPr="009827C2" w:rsidRDefault="002B7254" w:rsidP="004F4BBD">
            <w:pPr>
              <w:widowControl w:val="0"/>
              <w:autoSpaceDE w:val="0"/>
              <w:autoSpaceDN w:val="0"/>
              <w:spacing w:line="270" w:lineRule="atLeast"/>
              <w:ind w:left="157" w:right="304"/>
              <w:rPr>
                <w:rFonts w:eastAsia="Arial"/>
                <w:b/>
                <w:lang w:eastAsia="en-GB" w:bidi="en-GB"/>
              </w:rPr>
            </w:pPr>
            <w:r w:rsidRPr="009827C2">
              <w:rPr>
                <w:rFonts w:eastAsia="Arial"/>
                <w:b/>
                <w:lang w:eastAsia="en-GB" w:bidi="en-GB"/>
              </w:rPr>
              <w:t>Decision- maker</w:t>
            </w:r>
          </w:p>
        </w:tc>
      </w:tr>
      <w:tr w:rsidR="002B7254" w:rsidRPr="009827C2" w14:paraId="453E478E" w14:textId="77777777" w:rsidTr="004F4BBD">
        <w:trPr>
          <w:trHeight w:val="551"/>
        </w:trPr>
        <w:tc>
          <w:tcPr>
            <w:tcW w:w="6116" w:type="dxa"/>
            <w:gridSpan w:val="2"/>
            <w:tcBorders>
              <w:top w:val="nil"/>
            </w:tcBorders>
          </w:tcPr>
          <w:p w14:paraId="6C3E7039" w14:textId="77777777" w:rsidR="002B7254" w:rsidRPr="009827C2" w:rsidRDefault="002B7254" w:rsidP="004F4BBD">
            <w:pPr>
              <w:widowControl w:val="0"/>
              <w:autoSpaceDE w:val="0"/>
              <w:autoSpaceDN w:val="0"/>
              <w:spacing w:line="270" w:lineRule="atLeast"/>
              <w:ind w:left="196" w:right="716"/>
              <w:rPr>
                <w:rFonts w:eastAsia="Arial"/>
                <w:lang w:eastAsia="en-GB" w:bidi="en-GB"/>
              </w:rPr>
            </w:pPr>
            <w:r w:rsidRPr="009827C2">
              <w:rPr>
                <w:rFonts w:eastAsia="Arial"/>
                <w:color w:val="221F1F"/>
                <w:lang w:eastAsia="en-GB" w:bidi="en-GB"/>
              </w:rPr>
              <w:t>Regulation 104 – selection of an LPS proposal for development and decision to adopt proposal</w:t>
            </w:r>
          </w:p>
        </w:tc>
        <w:tc>
          <w:tcPr>
            <w:tcW w:w="1984" w:type="dxa"/>
            <w:tcBorders>
              <w:top w:val="nil"/>
            </w:tcBorders>
          </w:tcPr>
          <w:p w14:paraId="326419CB"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Subcommittee</w:t>
            </w:r>
          </w:p>
        </w:tc>
      </w:tr>
      <w:tr w:rsidR="002B7254" w:rsidRPr="009827C2" w14:paraId="53149D07" w14:textId="77777777" w:rsidTr="004F4BBD">
        <w:trPr>
          <w:trHeight w:val="277"/>
        </w:trPr>
        <w:tc>
          <w:tcPr>
            <w:tcW w:w="6116" w:type="dxa"/>
            <w:gridSpan w:val="2"/>
          </w:tcPr>
          <w:p w14:paraId="014BDF04" w14:textId="77777777" w:rsidR="002B7254" w:rsidRPr="009827C2" w:rsidRDefault="002B7254" w:rsidP="004F4BBD">
            <w:pPr>
              <w:widowControl w:val="0"/>
              <w:autoSpaceDE w:val="0"/>
              <w:autoSpaceDN w:val="0"/>
              <w:spacing w:before="1" w:line="255" w:lineRule="exact"/>
              <w:ind w:left="196"/>
              <w:rPr>
                <w:rFonts w:eastAsia="Arial"/>
                <w:lang w:eastAsia="en-GB" w:bidi="en-GB"/>
              </w:rPr>
            </w:pPr>
            <w:r w:rsidRPr="009827C2">
              <w:rPr>
                <w:rFonts w:eastAsia="Arial"/>
                <w:color w:val="221F1F"/>
                <w:lang w:eastAsia="en-GB" w:bidi="en-GB"/>
              </w:rPr>
              <w:t>Regulation 108 – right of return for LPS contractor</w:t>
            </w:r>
          </w:p>
        </w:tc>
        <w:tc>
          <w:tcPr>
            <w:tcW w:w="1984" w:type="dxa"/>
          </w:tcPr>
          <w:p w14:paraId="56B75A6B" w14:textId="77777777" w:rsidR="002B7254" w:rsidRPr="009827C2" w:rsidRDefault="002B7254" w:rsidP="004F4BBD">
            <w:pPr>
              <w:widowControl w:val="0"/>
              <w:autoSpaceDE w:val="0"/>
              <w:autoSpaceDN w:val="0"/>
              <w:spacing w:before="1" w:line="255" w:lineRule="exact"/>
              <w:ind w:left="157"/>
              <w:rPr>
                <w:rFonts w:eastAsia="Arial"/>
                <w:lang w:eastAsia="en-GB" w:bidi="en-GB"/>
              </w:rPr>
            </w:pPr>
            <w:r w:rsidRPr="009827C2">
              <w:rPr>
                <w:rFonts w:eastAsia="Arial"/>
                <w:color w:val="221F1F"/>
                <w:lang w:eastAsia="en-GB" w:bidi="en-GB"/>
              </w:rPr>
              <w:t>Subcommittee</w:t>
            </w:r>
          </w:p>
        </w:tc>
      </w:tr>
      <w:tr w:rsidR="002B7254" w:rsidRPr="009827C2" w14:paraId="79F062EE" w14:textId="77777777" w:rsidTr="004F4BBD">
        <w:trPr>
          <w:trHeight w:val="551"/>
        </w:trPr>
        <w:tc>
          <w:tcPr>
            <w:tcW w:w="6116" w:type="dxa"/>
            <w:gridSpan w:val="2"/>
          </w:tcPr>
          <w:p w14:paraId="58D8F8E6" w14:textId="77777777" w:rsidR="002B7254" w:rsidRPr="009827C2" w:rsidRDefault="002B7254" w:rsidP="004F4BBD">
            <w:pPr>
              <w:widowControl w:val="0"/>
              <w:autoSpaceDE w:val="0"/>
              <w:autoSpaceDN w:val="0"/>
              <w:spacing w:line="270" w:lineRule="atLeast"/>
              <w:ind w:left="196" w:right="129"/>
              <w:rPr>
                <w:rFonts w:eastAsia="Arial"/>
                <w:lang w:eastAsia="en-GB" w:bidi="en-GB"/>
              </w:rPr>
            </w:pPr>
            <w:r w:rsidRPr="009827C2">
              <w:rPr>
                <w:rFonts w:eastAsia="Arial"/>
                <w:color w:val="221F1F"/>
                <w:lang w:eastAsia="en-GB" w:bidi="en-GB"/>
              </w:rPr>
              <w:t>Schedule 2, paragraph 1(10) – whether a best estimate is acceptable</w:t>
            </w:r>
          </w:p>
        </w:tc>
        <w:tc>
          <w:tcPr>
            <w:tcW w:w="1984" w:type="dxa"/>
          </w:tcPr>
          <w:p w14:paraId="16D163DA" w14:textId="77777777" w:rsidR="002B7254" w:rsidRPr="009827C2" w:rsidRDefault="002B7254" w:rsidP="004F4BBD">
            <w:pPr>
              <w:widowControl w:val="0"/>
              <w:autoSpaceDE w:val="0"/>
              <w:autoSpaceDN w:val="0"/>
              <w:spacing w:line="270" w:lineRule="atLeast"/>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6F579BB8" w14:textId="77777777" w:rsidTr="004F4BBD">
        <w:trPr>
          <w:trHeight w:val="551"/>
        </w:trPr>
        <w:tc>
          <w:tcPr>
            <w:tcW w:w="6116" w:type="dxa"/>
            <w:gridSpan w:val="2"/>
          </w:tcPr>
          <w:p w14:paraId="16104245" w14:textId="77777777" w:rsidR="002B7254" w:rsidRPr="009827C2" w:rsidRDefault="002B7254" w:rsidP="004F4BBD">
            <w:pPr>
              <w:widowControl w:val="0"/>
              <w:autoSpaceDE w:val="0"/>
              <w:autoSpaceDN w:val="0"/>
              <w:spacing w:line="270" w:lineRule="atLeast"/>
              <w:ind w:left="196" w:right="36"/>
              <w:rPr>
                <w:rFonts w:eastAsia="Arial"/>
                <w:lang w:eastAsia="en-GB" w:bidi="en-GB"/>
              </w:rPr>
            </w:pPr>
            <w:r w:rsidRPr="009827C2">
              <w:rPr>
                <w:rFonts w:eastAsia="Arial"/>
                <w:color w:val="221F1F"/>
                <w:lang w:eastAsia="en-GB" w:bidi="en-GB"/>
              </w:rPr>
              <w:t>Schedule 2, paragraph 11(1) – determination of whether there is missing information</w:t>
            </w:r>
          </w:p>
        </w:tc>
        <w:tc>
          <w:tcPr>
            <w:tcW w:w="1984" w:type="dxa"/>
          </w:tcPr>
          <w:p w14:paraId="08CB03A6"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Officer</w:t>
            </w:r>
          </w:p>
        </w:tc>
      </w:tr>
      <w:tr w:rsidR="002B7254" w:rsidRPr="009827C2" w14:paraId="0C3FB8A0" w14:textId="77777777" w:rsidTr="004F4BBD">
        <w:trPr>
          <w:trHeight w:val="826"/>
        </w:trPr>
        <w:tc>
          <w:tcPr>
            <w:tcW w:w="6116" w:type="dxa"/>
            <w:gridSpan w:val="2"/>
          </w:tcPr>
          <w:p w14:paraId="0EFDC653" w14:textId="77777777" w:rsidR="002B7254" w:rsidRPr="009827C2" w:rsidRDefault="002B7254" w:rsidP="004F4BBD">
            <w:pPr>
              <w:widowControl w:val="0"/>
              <w:autoSpaceDE w:val="0"/>
              <w:autoSpaceDN w:val="0"/>
              <w:spacing w:before="4" w:line="276" w:lineRule="exact"/>
              <w:ind w:left="196" w:right="663"/>
              <w:rPr>
                <w:rFonts w:eastAsia="Arial"/>
                <w:lang w:eastAsia="en-GB" w:bidi="en-GB"/>
              </w:rPr>
            </w:pPr>
            <w:r w:rsidRPr="009827C2">
              <w:rPr>
                <w:rFonts w:eastAsia="Arial"/>
                <w:color w:val="221F1F"/>
                <w:lang w:eastAsia="en-GB" w:bidi="en-GB"/>
              </w:rPr>
              <w:t>Schedule 2, paragraph 11(2)(b) – determination of review of reasonableness of request for missing information</w:t>
            </w:r>
          </w:p>
        </w:tc>
        <w:tc>
          <w:tcPr>
            <w:tcW w:w="1984" w:type="dxa"/>
          </w:tcPr>
          <w:p w14:paraId="38AE27F5" w14:textId="77777777" w:rsidR="002B7254" w:rsidRPr="009827C2" w:rsidRDefault="002B7254" w:rsidP="004F4BBD">
            <w:pPr>
              <w:widowControl w:val="0"/>
              <w:autoSpaceDE w:val="0"/>
              <w:autoSpaceDN w:val="0"/>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43632E1A" w14:textId="77777777" w:rsidTr="004F4BBD">
        <w:trPr>
          <w:trHeight w:val="547"/>
        </w:trPr>
        <w:tc>
          <w:tcPr>
            <w:tcW w:w="6116" w:type="dxa"/>
            <w:gridSpan w:val="2"/>
          </w:tcPr>
          <w:p w14:paraId="039A84B5" w14:textId="77777777" w:rsidR="002B7254" w:rsidRPr="009827C2" w:rsidRDefault="002B7254" w:rsidP="004F4BBD">
            <w:pPr>
              <w:widowControl w:val="0"/>
              <w:autoSpaceDE w:val="0"/>
              <w:autoSpaceDN w:val="0"/>
              <w:spacing w:line="276" w:lineRule="exact"/>
              <w:ind w:left="196" w:right="1236"/>
              <w:rPr>
                <w:rFonts w:eastAsia="Arial"/>
                <w:lang w:eastAsia="en-GB" w:bidi="en-GB"/>
              </w:rPr>
            </w:pPr>
            <w:r w:rsidRPr="009827C2">
              <w:rPr>
                <w:rFonts w:eastAsia="Arial"/>
                <w:color w:val="221F1F"/>
                <w:lang w:eastAsia="en-GB" w:bidi="en-GB"/>
              </w:rPr>
              <w:t>Schedule 2, paragraph 14 – whether to defer consideration of application</w:t>
            </w:r>
          </w:p>
        </w:tc>
        <w:tc>
          <w:tcPr>
            <w:tcW w:w="1984" w:type="dxa"/>
          </w:tcPr>
          <w:p w14:paraId="59E1B82B" w14:textId="77777777" w:rsidR="002B7254" w:rsidRPr="009827C2" w:rsidRDefault="002B7254" w:rsidP="004F4BBD">
            <w:pPr>
              <w:widowControl w:val="0"/>
              <w:autoSpaceDE w:val="0"/>
              <w:autoSpaceDN w:val="0"/>
              <w:spacing w:line="276" w:lineRule="exact"/>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316799B3" w14:textId="77777777" w:rsidTr="004F4BBD">
        <w:trPr>
          <w:trHeight w:val="547"/>
        </w:trPr>
        <w:tc>
          <w:tcPr>
            <w:tcW w:w="6116" w:type="dxa"/>
            <w:gridSpan w:val="2"/>
          </w:tcPr>
          <w:p w14:paraId="4EEC652D" w14:textId="77777777" w:rsidR="002B7254" w:rsidRPr="009827C2" w:rsidRDefault="002B7254" w:rsidP="004F4BBD">
            <w:pPr>
              <w:widowControl w:val="0"/>
              <w:autoSpaceDE w:val="0"/>
              <w:autoSpaceDN w:val="0"/>
              <w:spacing w:line="276" w:lineRule="exact"/>
              <w:ind w:left="196" w:right="236"/>
              <w:rPr>
                <w:rFonts w:eastAsia="Arial"/>
                <w:lang w:eastAsia="en-GB" w:bidi="en-GB"/>
              </w:rPr>
            </w:pPr>
            <w:r w:rsidRPr="009827C2">
              <w:rPr>
                <w:rFonts w:eastAsia="Arial"/>
                <w:color w:val="221F1F"/>
                <w:lang w:eastAsia="en-GB" w:bidi="en-GB"/>
              </w:rPr>
              <w:t>Schedule 2, paragraph 19 – determination of who is to be provided with notice of a notifiable application</w:t>
            </w:r>
          </w:p>
        </w:tc>
        <w:tc>
          <w:tcPr>
            <w:tcW w:w="1984" w:type="dxa"/>
          </w:tcPr>
          <w:p w14:paraId="5DF23EFF" w14:textId="77777777" w:rsidR="002B7254" w:rsidRPr="009827C2" w:rsidRDefault="002B7254" w:rsidP="004F4BBD">
            <w:pPr>
              <w:widowControl w:val="0"/>
              <w:autoSpaceDE w:val="0"/>
              <w:autoSpaceDN w:val="0"/>
              <w:spacing w:line="272" w:lineRule="exact"/>
              <w:ind w:left="157"/>
              <w:rPr>
                <w:rFonts w:eastAsia="Arial"/>
                <w:lang w:eastAsia="en-GB" w:bidi="en-GB"/>
              </w:rPr>
            </w:pPr>
            <w:r w:rsidRPr="009827C2">
              <w:rPr>
                <w:rFonts w:eastAsia="Arial"/>
                <w:color w:val="221F1F"/>
                <w:lang w:eastAsia="en-GB" w:bidi="en-GB"/>
              </w:rPr>
              <w:t>Officer</w:t>
            </w:r>
          </w:p>
        </w:tc>
      </w:tr>
      <w:tr w:rsidR="002B7254" w:rsidRPr="009827C2" w14:paraId="0721F4B5" w14:textId="77777777" w:rsidTr="004F4BBD">
        <w:trPr>
          <w:trHeight w:val="822"/>
        </w:trPr>
        <w:tc>
          <w:tcPr>
            <w:tcW w:w="6116" w:type="dxa"/>
            <w:gridSpan w:val="2"/>
          </w:tcPr>
          <w:p w14:paraId="6E80326E" w14:textId="77777777" w:rsidR="002B7254" w:rsidRPr="009827C2" w:rsidRDefault="002B7254" w:rsidP="004F4BBD">
            <w:pPr>
              <w:widowControl w:val="0"/>
              <w:autoSpaceDE w:val="0"/>
              <w:autoSpaceDN w:val="0"/>
              <w:spacing w:line="276" w:lineRule="exact"/>
              <w:ind w:left="196" w:right="36"/>
              <w:rPr>
                <w:rFonts w:eastAsia="Arial"/>
                <w:lang w:eastAsia="en-GB" w:bidi="en-GB"/>
              </w:rPr>
            </w:pPr>
            <w:r w:rsidRPr="009827C2">
              <w:rPr>
                <w:rFonts w:eastAsia="Arial"/>
                <w:color w:val="221F1F"/>
                <w:lang w:eastAsia="en-GB" w:bidi="en-GB"/>
              </w:rPr>
              <w:t>Schedule 2, paragraph 21(4) – determination of whether the full disclosure principle applies to information contained within a notifiable application</w:t>
            </w:r>
          </w:p>
        </w:tc>
        <w:tc>
          <w:tcPr>
            <w:tcW w:w="1984" w:type="dxa"/>
          </w:tcPr>
          <w:p w14:paraId="471B8DF6" w14:textId="77777777" w:rsidR="002B7254" w:rsidRPr="009827C2" w:rsidRDefault="002B7254" w:rsidP="004F4BBD">
            <w:pPr>
              <w:widowControl w:val="0"/>
              <w:autoSpaceDE w:val="0"/>
              <w:autoSpaceDN w:val="0"/>
              <w:spacing w:line="272" w:lineRule="exact"/>
              <w:ind w:left="157"/>
              <w:rPr>
                <w:rFonts w:eastAsia="Arial"/>
                <w:lang w:eastAsia="en-GB" w:bidi="en-GB"/>
              </w:rPr>
            </w:pPr>
            <w:r w:rsidRPr="009827C2">
              <w:rPr>
                <w:rFonts w:eastAsia="Arial"/>
                <w:color w:val="221F1F"/>
                <w:lang w:eastAsia="en-GB" w:bidi="en-GB"/>
              </w:rPr>
              <w:t>Subcommittee</w:t>
            </w:r>
          </w:p>
        </w:tc>
      </w:tr>
      <w:tr w:rsidR="002B7254" w:rsidRPr="009827C2" w14:paraId="3B1220CD" w14:textId="77777777" w:rsidTr="004F4BBD">
        <w:trPr>
          <w:trHeight w:val="1099"/>
        </w:trPr>
        <w:tc>
          <w:tcPr>
            <w:tcW w:w="6116" w:type="dxa"/>
            <w:gridSpan w:val="2"/>
          </w:tcPr>
          <w:p w14:paraId="3CB56B2B" w14:textId="77777777" w:rsidR="002B7254" w:rsidRPr="009827C2" w:rsidRDefault="002B7254" w:rsidP="004F4BBD">
            <w:pPr>
              <w:widowControl w:val="0"/>
              <w:autoSpaceDE w:val="0"/>
              <w:autoSpaceDN w:val="0"/>
              <w:spacing w:line="276" w:lineRule="exact"/>
              <w:ind w:left="196" w:right="516"/>
              <w:rPr>
                <w:rFonts w:eastAsia="Arial"/>
                <w:lang w:eastAsia="en-GB" w:bidi="en-GB"/>
              </w:rPr>
            </w:pPr>
            <w:r w:rsidRPr="009827C2">
              <w:rPr>
                <w:rFonts w:eastAsia="Arial"/>
                <w:color w:val="221F1F"/>
                <w:lang w:eastAsia="en-GB" w:bidi="en-GB"/>
              </w:rPr>
              <w:t>Schedule 2, paragraph 22(2) – whether oral representations are to be provided and who may be additional presenters as defined in Schedule 2, paragraph 25(2)</w:t>
            </w:r>
          </w:p>
        </w:tc>
        <w:tc>
          <w:tcPr>
            <w:tcW w:w="1984" w:type="dxa"/>
          </w:tcPr>
          <w:p w14:paraId="16DD18EE" w14:textId="77777777" w:rsidR="002B7254" w:rsidRPr="009827C2" w:rsidRDefault="002B7254" w:rsidP="004F4BBD">
            <w:pPr>
              <w:widowControl w:val="0"/>
              <w:autoSpaceDE w:val="0"/>
              <w:autoSpaceDN w:val="0"/>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51B496B0" w14:textId="77777777" w:rsidTr="004F4BBD">
        <w:trPr>
          <w:trHeight w:val="547"/>
        </w:trPr>
        <w:tc>
          <w:tcPr>
            <w:tcW w:w="6116" w:type="dxa"/>
            <w:gridSpan w:val="2"/>
          </w:tcPr>
          <w:p w14:paraId="4181371B" w14:textId="77777777" w:rsidR="002B7254" w:rsidRPr="009827C2" w:rsidRDefault="002B7254" w:rsidP="004F4BBD">
            <w:pPr>
              <w:widowControl w:val="0"/>
              <w:autoSpaceDE w:val="0"/>
              <w:autoSpaceDN w:val="0"/>
              <w:spacing w:line="276" w:lineRule="exact"/>
              <w:ind w:left="196" w:right="502"/>
              <w:rPr>
                <w:rFonts w:eastAsia="Arial"/>
                <w:lang w:eastAsia="en-GB" w:bidi="en-GB"/>
              </w:rPr>
            </w:pPr>
            <w:r w:rsidRPr="009827C2">
              <w:rPr>
                <w:rFonts w:eastAsia="Arial"/>
                <w:color w:val="221F1F"/>
                <w:lang w:eastAsia="en-GB" w:bidi="en-GB"/>
              </w:rPr>
              <w:t>Schedule 2, paragraph 25 – decision to hold an oral hearing to determine an application</w:t>
            </w:r>
          </w:p>
        </w:tc>
        <w:tc>
          <w:tcPr>
            <w:tcW w:w="1984" w:type="dxa"/>
          </w:tcPr>
          <w:p w14:paraId="152BF076" w14:textId="77777777" w:rsidR="002B7254" w:rsidRPr="009827C2" w:rsidRDefault="002B7254" w:rsidP="004F4BBD">
            <w:pPr>
              <w:widowControl w:val="0"/>
              <w:autoSpaceDE w:val="0"/>
              <w:autoSpaceDN w:val="0"/>
              <w:spacing w:line="272" w:lineRule="exact"/>
              <w:ind w:left="157"/>
              <w:rPr>
                <w:rFonts w:eastAsia="Arial"/>
                <w:lang w:eastAsia="en-GB" w:bidi="en-GB"/>
              </w:rPr>
            </w:pPr>
            <w:r w:rsidRPr="009827C2">
              <w:rPr>
                <w:rFonts w:eastAsia="Arial"/>
                <w:color w:val="221F1F"/>
                <w:lang w:eastAsia="en-GB" w:bidi="en-GB"/>
              </w:rPr>
              <w:t>Subcommittee</w:t>
            </w:r>
          </w:p>
        </w:tc>
      </w:tr>
      <w:tr w:rsidR="002B7254" w:rsidRPr="009827C2" w14:paraId="7EDB0313" w14:textId="77777777" w:rsidTr="004F4BBD">
        <w:trPr>
          <w:trHeight w:val="823"/>
        </w:trPr>
        <w:tc>
          <w:tcPr>
            <w:tcW w:w="6116" w:type="dxa"/>
            <w:gridSpan w:val="2"/>
          </w:tcPr>
          <w:p w14:paraId="1805C424" w14:textId="77777777" w:rsidR="002B7254" w:rsidRPr="009827C2" w:rsidRDefault="002B7254" w:rsidP="004F4BBD">
            <w:pPr>
              <w:widowControl w:val="0"/>
              <w:autoSpaceDE w:val="0"/>
              <w:autoSpaceDN w:val="0"/>
              <w:spacing w:line="276" w:lineRule="exact"/>
              <w:ind w:left="196" w:right="236"/>
              <w:rPr>
                <w:rFonts w:eastAsia="Arial"/>
                <w:lang w:eastAsia="en-GB" w:bidi="en-GB"/>
              </w:rPr>
            </w:pPr>
            <w:r w:rsidRPr="009827C2">
              <w:rPr>
                <w:rFonts w:eastAsia="Arial"/>
                <w:color w:val="221F1F"/>
                <w:lang w:eastAsia="en-GB" w:bidi="en-GB"/>
              </w:rPr>
              <w:t>Schedule 2, paragraph 28 – determination of who is to be notified of decisions on routine and excepted applications</w:t>
            </w:r>
          </w:p>
        </w:tc>
        <w:tc>
          <w:tcPr>
            <w:tcW w:w="1984" w:type="dxa"/>
          </w:tcPr>
          <w:p w14:paraId="304269A1" w14:textId="77777777" w:rsidR="002B7254" w:rsidRPr="009827C2" w:rsidRDefault="002B7254" w:rsidP="004F4BBD">
            <w:pPr>
              <w:widowControl w:val="0"/>
              <w:autoSpaceDE w:val="0"/>
              <w:autoSpaceDN w:val="0"/>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67CB3BAB" w14:textId="77777777" w:rsidTr="004F4BBD">
        <w:trPr>
          <w:trHeight w:val="822"/>
        </w:trPr>
        <w:tc>
          <w:tcPr>
            <w:tcW w:w="6116" w:type="dxa"/>
            <w:gridSpan w:val="2"/>
          </w:tcPr>
          <w:p w14:paraId="3311FBF2" w14:textId="77777777" w:rsidR="002B7254" w:rsidRPr="009827C2" w:rsidRDefault="002B7254" w:rsidP="004F4BBD">
            <w:pPr>
              <w:widowControl w:val="0"/>
              <w:autoSpaceDE w:val="0"/>
              <w:autoSpaceDN w:val="0"/>
              <w:spacing w:line="276" w:lineRule="exact"/>
              <w:ind w:left="196" w:right="236"/>
              <w:rPr>
                <w:rFonts w:eastAsia="Arial"/>
                <w:lang w:eastAsia="en-GB" w:bidi="en-GB"/>
              </w:rPr>
            </w:pPr>
            <w:r w:rsidRPr="009827C2">
              <w:rPr>
                <w:rFonts w:eastAsia="Arial"/>
                <w:color w:val="221F1F"/>
                <w:lang w:eastAsia="en-GB" w:bidi="en-GB"/>
              </w:rPr>
              <w:t>Schedule 3, paragraph 30 – determination of who is to have a third party right of appeal against decisions on routine and excepted applications</w:t>
            </w:r>
          </w:p>
        </w:tc>
        <w:tc>
          <w:tcPr>
            <w:tcW w:w="1984" w:type="dxa"/>
          </w:tcPr>
          <w:p w14:paraId="53FB391F" w14:textId="77777777" w:rsidR="002B7254" w:rsidRPr="009827C2" w:rsidRDefault="002B7254" w:rsidP="004F4BBD">
            <w:pPr>
              <w:widowControl w:val="0"/>
              <w:autoSpaceDE w:val="0"/>
              <w:autoSpaceDN w:val="0"/>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146334BD" w14:textId="77777777" w:rsidTr="004F4BBD">
        <w:trPr>
          <w:trHeight w:val="1375"/>
        </w:trPr>
        <w:tc>
          <w:tcPr>
            <w:tcW w:w="6116" w:type="dxa"/>
            <w:gridSpan w:val="2"/>
          </w:tcPr>
          <w:p w14:paraId="7ABCEE0D" w14:textId="77777777" w:rsidR="002B7254" w:rsidRPr="009827C2" w:rsidRDefault="002B7254" w:rsidP="004F4BBD">
            <w:pPr>
              <w:widowControl w:val="0"/>
              <w:autoSpaceDE w:val="0"/>
              <w:autoSpaceDN w:val="0"/>
              <w:spacing w:line="276" w:lineRule="exact"/>
              <w:ind w:left="196" w:right="78"/>
              <w:rPr>
                <w:rFonts w:eastAsia="Arial"/>
                <w:lang w:eastAsia="en-GB" w:bidi="en-GB"/>
              </w:rPr>
            </w:pPr>
            <w:r w:rsidRPr="009827C2">
              <w:rPr>
                <w:rFonts w:eastAsia="Arial"/>
                <w:color w:val="221F1F"/>
                <w:lang w:eastAsia="en-GB" w:bidi="en-GB"/>
              </w:rPr>
              <w:t>Schedule 2, paragraph 31 – consideration of a notification of address following a 'best estimate' routine application. Where this may lead to a refusal under regulation 31, the matter should be escalated to the committee</w:t>
            </w:r>
          </w:p>
        </w:tc>
        <w:tc>
          <w:tcPr>
            <w:tcW w:w="1984" w:type="dxa"/>
          </w:tcPr>
          <w:p w14:paraId="3D056E3F" w14:textId="77777777" w:rsidR="002B7254" w:rsidRPr="009827C2" w:rsidRDefault="002B7254" w:rsidP="004F4BBD">
            <w:pPr>
              <w:widowControl w:val="0"/>
              <w:autoSpaceDE w:val="0"/>
              <w:autoSpaceDN w:val="0"/>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484AAECA" w14:textId="77777777" w:rsidTr="004F4BBD">
        <w:trPr>
          <w:trHeight w:val="547"/>
        </w:trPr>
        <w:tc>
          <w:tcPr>
            <w:tcW w:w="6116" w:type="dxa"/>
            <w:gridSpan w:val="2"/>
          </w:tcPr>
          <w:p w14:paraId="3CEB05EF" w14:textId="77777777" w:rsidR="002B7254" w:rsidRPr="009827C2" w:rsidRDefault="002B7254" w:rsidP="004F4BBD">
            <w:pPr>
              <w:widowControl w:val="0"/>
              <w:autoSpaceDE w:val="0"/>
              <w:autoSpaceDN w:val="0"/>
              <w:spacing w:line="276" w:lineRule="exact"/>
              <w:ind w:left="196" w:right="62"/>
              <w:rPr>
                <w:rFonts w:eastAsia="Arial"/>
                <w:lang w:eastAsia="en-GB" w:bidi="en-GB"/>
              </w:rPr>
            </w:pPr>
            <w:r w:rsidRPr="009827C2">
              <w:rPr>
                <w:rFonts w:eastAsia="Arial"/>
                <w:color w:val="221F1F"/>
                <w:lang w:eastAsia="en-GB" w:bidi="en-GB"/>
              </w:rPr>
              <w:t>Schedule 2, paragraph 32 – determination of whether to accept a change to premises</w:t>
            </w:r>
          </w:p>
        </w:tc>
        <w:tc>
          <w:tcPr>
            <w:tcW w:w="1984" w:type="dxa"/>
          </w:tcPr>
          <w:p w14:paraId="1F4F8269" w14:textId="77777777" w:rsidR="002B7254" w:rsidRPr="009827C2" w:rsidRDefault="002B7254" w:rsidP="004F4BBD">
            <w:pPr>
              <w:widowControl w:val="0"/>
              <w:autoSpaceDE w:val="0"/>
              <w:autoSpaceDN w:val="0"/>
              <w:spacing w:line="276" w:lineRule="exact"/>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39C561D9" w14:textId="77777777" w:rsidTr="004F4BBD">
        <w:trPr>
          <w:trHeight w:val="546"/>
        </w:trPr>
        <w:tc>
          <w:tcPr>
            <w:tcW w:w="6116" w:type="dxa"/>
            <w:gridSpan w:val="2"/>
          </w:tcPr>
          <w:p w14:paraId="74206182" w14:textId="77777777" w:rsidR="002B7254" w:rsidRPr="009827C2" w:rsidRDefault="002B7254" w:rsidP="004F4BBD">
            <w:pPr>
              <w:widowControl w:val="0"/>
              <w:autoSpaceDE w:val="0"/>
              <w:autoSpaceDN w:val="0"/>
              <w:spacing w:line="276" w:lineRule="exact"/>
              <w:ind w:left="196" w:right="9"/>
              <w:rPr>
                <w:rFonts w:eastAsia="Arial"/>
                <w:lang w:eastAsia="en-GB" w:bidi="en-GB"/>
              </w:rPr>
            </w:pPr>
            <w:r w:rsidRPr="009827C2">
              <w:rPr>
                <w:rFonts w:eastAsia="Arial"/>
                <w:color w:val="221F1F"/>
                <w:lang w:eastAsia="en-GB" w:bidi="en-GB"/>
              </w:rPr>
              <w:t>Schedule 2, paragraph 33 – determination as to whether the future circumstances have arisen</w:t>
            </w:r>
          </w:p>
        </w:tc>
        <w:tc>
          <w:tcPr>
            <w:tcW w:w="1984" w:type="dxa"/>
          </w:tcPr>
          <w:p w14:paraId="1949A82C" w14:textId="77777777" w:rsidR="002B7254" w:rsidRPr="009827C2" w:rsidRDefault="002B7254" w:rsidP="004F4BBD">
            <w:pPr>
              <w:widowControl w:val="0"/>
              <w:autoSpaceDE w:val="0"/>
              <w:autoSpaceDN w:val="0"/>
              <w:spacing w:line="272" w:lineRule="exact"/>
              <w:ind w:left="157"/>
              <w:rPr>
                <w:rFonts w:eastAsia="Arial"/>
                <w:lang w:eastAsia="en-GB" w:bidi="en-GB"/>
              </w:rPr>
            </w:pPr>
            <w:r w:rsidRPr="009827C2">
              <w:rPr>
                <w:rFonts w:eastAsia="Arial"/>
                <w:color w:val="221F1F"/>
                <w:lang w:eastAsia="en-GB" w:bidi="en-GB"/>
              </w:rPr>
              <w:t>Officer</w:t>
            </w:r>
          </w:p>
        </w:tc>
      </w:tr>
      <w:tr w:rsidR="002B7254" w:rsidRPr="009827C2" w14:paraId="616372E1" w14:textId="77777777" w:rsidTr="004F4BBD">
        <w:trPr>
          <w:trHeight w:val="822"/>
        </w:trPr>
        <w:tc>
          <w:tcPr>
            <w:tcW w:w="6116" w:type="dxa"/>
            <w:gridSpan w:val="2"/>
          </w:tcPr>
          <w:p w14:paraId="64478EB5" w14:textId="77777777" w:rsidR="002B7254" w:rsidRPr="009827C2" w:rsidRDefault="002B7254" w:rsidP="004F4BBD">
            <w:pPr>
              <w:widowControl w:val="0"/>
              <w:autoSpaceDE w:val="0"/>
              <w:autoSpaceDN w:val="0"/>
              <w:spacing w:line="272" w:lineRule="exact"/>
              <w:ind w:left="196"/>
              <w:rPr>
                <w:rFonts w:eastAsia="Arial"/>
                <w:lang w:eastAsia="en-GB" w:bidi="en-GB"/>
              </w:rPr>
            </w:pPr>
            <w:r w:rsidRPr="009827C2">
              <w:rPr>
                <w:rFonts w:eastAsia="Arial"/>
                <w:color w:val="221F1F"/>
                <w:lang w:eastAsia="en-GB" w:bidi="en-GB"/>
              </w:rPr>
              <w:t>Schedule 2, paragraph 34 – decisions as to whether</w:t>
            </w:r>
          </w:p>
          <w:p w14:paraId="283A9D88" w14:textId="77777777" w:rsidR="002B7254" w:rsidRPr="009827C2" w:rsidRDefault="002B7254" w:rsidP="004F4BBD">
            <w:pPr>
              <w:widowControl w:val="0"/>
              <w:autoSpaceDE w:val="0"/>
              <w:autoSpaceDN w:val="0"/>
              <w:spacing w:before="6" w:line="274" w:lineRule="exact"/>
              <w:ind w:left="196" w:right="570"/>
              <w:rPr>
                <w:rFonts w:eastAsia="Arial"/>
                <w:lang w:eastAsia="en-GB" w:bidi="en-GB"/>
              </w:rPr>
            </w:pPr>
            <w:r w:rsidRPr="009827C2">
              <w:rPr>
                <w:rFonts w:eastAsia="Arial"/>
                <w:color w:val="221F1F"/>
                <w:lang w:eastAsia="en-GB" w:bidi="en-GB"/>
              </w:rPr>
              <w:t>notices of commencement are valid, and whether a shorter notice period can be given</w:t>
            </w:r>
          </w:p>
        </w:tc>
        <w:tc>
          <w:tcPr>
            <w:tcW w:w="1984" w:type="dxa"/>
          </w:tcPr>
          <w:p w14:paraId="6BBA33D5" w14:textId="77777777" w:rsidR="002B7254" w:rsidRPr="009827C2" w:rsidRDefault="002B7254" w:rsidP="004F4BBD">
            <w:pPr>
              <w:widowControl w:val="0"/>
              <w:autoSpaceDE w:val="0"/>
              <w:autoSpaceDN w:val="0"/>
              <w:spacing w:line="272" w:lineRule="exact"/>
              <w:ind w:left="157"/>
              <w:rPr>
                <w:rFonts w:eastAsia="Arial"/>
                <w:lang w:eastAsia="en-GB" w:bidi="en-GB"/>
              </w:rPr>
            </w:pPr>
            <w:r w:rsidRPr="009827C2">
              <w:rPr>
                <w:rFonts w:eastAsia="Arial"/>
                <w:color w:val="221F1F"/>
                <w:lang w:eastAsia="en-GB" w:bidi="en-GB"/>
              </w:rPr>
              <w:t>Officer</w:t>
            </w:r>
          </w:p>
        </w:tc>
      </w:tr>
      <w:tr w:rsidR="002B7254" w:rsidRPr="009827C2" w14:paraId="588E7B05" w14:textId="77777777" w:rsidTr="004F4BBD">
        <w:trPr>
          <w:trHeight w:val="825"/>
        </w:trPr>
        <w:tc>
          <w:tcPr>
            <w:tcW w:w="6116" w:type="dxa"/>
            <w:gridSpan w:val="2"/>
          </w:tcPr>
          <w:p w14:paraId="3F3B0F5C" w14:textId="77777777" w:rsidR="002B7254" w:rsidRPr="009827C2" w:rsidRDefault="002B7254" w:rsidP="004F4BBD">
            <w:pPr>
              <w:widowControl w:val="0"/>
              <w:autoSpaceDE w:val="0"/>
              <w:autoSpaceDN w:val="0"/>
              <w:spacing w:line="274" w:lineRule="exact"/>
              <w:ind w:left="196"/>
              <w:rPr>
                <w:rFonts w:eastAsia="Arial"/>
                <w:lang w:eastAsia="en-GB" w:bidi="en-GB"/>
              </w:rPr>
            </w:pPr>
            <w:r w:rsidRPr="009827C2">
              <w:rPr>
                <w:rFonts w:eastAsia="Arial"/>
                <w:color w:val="221F1F"/>
                <w:lang w:eastAsia="en-GB" w:bidi="en-GB"/>
              </w:rPr>
              <w:t>Schedule 2, paragraph 34A – decisions as to whether</w:t>
            </w:r>
          </w:p>
          <w:p w14:paraId="57C90C4B" w14:textId="77777777" w:rsidR="002B7254" w:rsidRPr="009827C2" w:rsidRDefault="002B7254" w:rsidP="004F4BBD">
            <w:pPr>
              <w:widowControl w:val="0"/>
              <w:autoSpaceDE w:val="0"/>
              <w:autoSpaceDN w:val="0"/>
              <w:spacing w:line="270" w:lineRule="atLeast"/>
              <w:ind w:left="196" w:right="63"/>
              <w:rPr>
                <w:rFonts w:eastAsia="Arial"/>
                <w:lang w:eastAsia="en-GB" w:bidi="en-GB"/>
              </w:rPr>
            </w:pPr>
            <w:r w:rsidRPr="009827C2">
              <w:rPr>
                <w:rFonts w:eastAsia="Arial"/>
                <w:color w:val="221F1F"/>
                <w:lang w:eastAsia="en-GB" w:bidi="en-GB"/>
              </w:rPr>
              <w:t>notices of consolidation are valid, and whether a shorter notice period can be given</w:t>
            </w:r>
          </w:p>
        </w:tc>
        <w:tc>
          <w:tcPr>
            <w:tcW w:w="1984" w:type="dxa"/>
          </w:tcPr>
          <w:p w14:paraId="56E98B36" w14:textId="77777777" w:rsidR="002B7254" w:rsidRPr="009827C2" w:rsidRDefault="002B7254" w:rsidP="004F4BBD">
            <w:pPr>
              <w:widowControl w:val="0"/>
              <w:autoSpaceDE w:val="0"/>
              <w:autoSpaceDN w:val="0"/>
              <w:spacing w:line="274" w:lineRule="exact"/>
              <w:ind w:left="157"/>
              <w:rPr>
                <w:rFonts w:eastAsia="Arial"/>
                <w:lang w:eastAsia="en-GB" w:bidi="en-GB"/>
              </w:rPr>
            </w:pPr>
            <w:r w:rsidRPr="009827C2">
              <w:rPr>
                <w:rFonts w:eastAsia="Arial"/>
                <w:color w:val="221F1F"/>
                <w:lang w:eastAsia="en-GB" w:bidi="en-GB"/>
              </w:rPr>
              <w:t>Officer</w:t>
            </w:r>
          </w:p>
        </w:tc>
      </w:tr>
      <w:tr w:rsidR="002B7254" w:rsidRPr="009827C2" w14:paraId="564802A0" w14:textId="77777777" w:rsidTr="004F4BBD">
        <w:trPr>
          <w:trHeight w:val="827"/>
        </w:trPr>
        <w:tc>
          <w:tcPr>
            <w:tcW w:w="6116" w:type="dxa"/>
            <w:gridSpan w:val="2"/>
          </w:tcPr>
          <w:p w14:paraId="6D1257F0" w14:textId="77777777" w:rsidR="002B7254" w:rsidRPr="009827C2" w:rsidRDefault="002B7254" w:rsidP="004F4BBD">
            <w:pPr>
              <w:widowControl w:val="0"/>
              <w:autoSpaceDE w:val="0"/>
              <w:autoSpaceDN w:val="0"/>
              <w:spacing w:line="270" w:lineRule="atLeast"/>
              <w:ind w:left="196" w:right="490"/>
              <w:rPr>
                <w:rFonts w:eastAsia="Arial"/>
                <w:lang w:eastAsia="en-GB" w:bidi="en-GB"/>
              </w:rPr>
            </w:pPr>
            <w:r w:rsidRPr="009827C2">
              <w:rPr>
                <w:rFonts w:eastAsia="Arial"/>
                <w:color w:val="221F1F"/>
                <w:lang w:eastAsia="en-GB" w:bidi="en-GB"/>
              </w:rPr>
              <w:t>Schedule 2, paragraph 34(4)(c)(</w:t>
            </w:r>
            <w:proofErr w:type="spellStart"/>
            <w:r w:rsidRPr="009827C2">
              <w:rPr>
                <w:rFonts w:eastAsia="Arial"/>
                <w:color w:val="221F1F"/>
                <w:lang w:eastAsia="en-GB" w:bidi="en-GB"/>
              </w:rPr>
              <w:t>i</w:t>
            </w:r>
            <w:proofErr w:type="spellEnd"/>
            <w:r w:rsidRPr="009827C2">
              <w:rPr>
                <w:rFonts w:eastAsia="Arial"/>
                <w:color w:val="221F1F"/>
                <w:lang w:eastAsia="en-GB" w:bidi="en-GB"/>
              </w:rPr>
              <w:t>) and 34A(4)(b)(</w:t>
            </w:r>
            <w:proofErr w:type="spellStart"/>
            <w:r w:rsidRPr="009827C2">
              <w:rPr>
                <w:rFonts w:eastAsia="Arial"/>
                <w:color w:val="221F1F"/>
                <w:lang w:eastAsia="en-GB" w:bidi="en-GB"/>
              </w:rPr>
              <w:t>i</w:t>
            </w:r>
            <w:proofErr w:type="spellEnd"/>
            <w:r w:rsidRPr="009827C2">
              <w:rPr>
                <w:rFonts w:eastAsia="Arial"/>
                <w:color w:val="221F1F"/>
                <w:lang w:eastAsia="en-GB" w:bidi="en-GB"/>
              </w:rPr>
              <w:t>) – extension of latest date for receipt of notice of commencement or consolidation</w:t>
            </w:r>
          </w:p>
        </w:tc>
        <w:tc>
          <w:tcPr>
            <w:tcW w:w="1984" w:type="dxa"/>
          </w:tcPr>
          <w:p w14:paraId="73C48C51" w14:textId="77777777" w:rsidR="002B7254" w:rsidRPr="009827C2" w:rsidRDefault="002B7254" w:rsidP="004F4BBD">
            <w:pPr>
              <w:widowControl w:val="0"/>
              <w:autoSpaceDE w:val="0"/>
              <w:autoSpaceDN w:val="0"/>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7530F3BE" w14:textId="77777777" w:rsidTr="002B7254">
        <w:trPr>
          <w:trHeight w:val="561"/>
        </w:trPr>
        <w:tc>
          <w:tcPr>
            <w:tcW w:w="6116" w:type="dxa"/>
            <w:gridSpan w:val="2"/>
            <w:tcBorders>
              <w:top w:val="nil"/>
              <w:left w:val="nil"/>
              <w:bottom w:val="nil"/>
              <w:right w:val="nil"/>
            </w:tcBorders>
            <w:shd w:val="clear" w:color="auto" w:fill="EEECE1" w:themeFill="background2"/>
          </w:tcPr>
          <w:p w14:paraId="23999010" w14:textId="77777777" w:rsidR="002B7254" w:rsidRPr="009827C2" w:rsidRDefault="002B7254" w:rsidP="004F4BBD">
            <w:pPr>
              <w:widowControl w:val="0"/>
              <w:autoSpaceDE w:val="0"/>
              <w:autoSpaceDN w:val="0"/>
              <w:ind w:left="196"/>
              <w:rPr>
                <w:rFonts w:eastAsia="Arial"/>
                <w:b/>
                <w:lang w:eastAsia="en-GB" w:bidi="en-GB"/>
              </w:rPr>
            </w:pPr>
            <w:r w:rsidRPr="009827C2">
              <w:rPr>
                <w:rFonts w:eastAsia="Arial"/>
                <w:b/>
                <w:lang w:eastAsia="en-GB" w:bidi="en-GB"/>
              </w:rPr>
              <w:lastRenderedPageBreak/>
              <w:t>Regulatory provision</w:t>
            </w:r>
          </w:p>
        </w:tc>
        <w:tc>
          <w:tcPr>
            <w:tcW w:w="1984" w:type="dxa"/>
            <w:tcBorders>
              <w:top w:val="nil"/>
              <w:left w:val="nil"/>
              <w:bottom w:val="nil"/>
              <w:right w:val="nil"/>
            </w:tcBorders>
            <w:shd w:val="clear" w:color="auto" w:fill="EEECE1" w:themeFill="background2"/>
          </w:tcPr>
          <w:p w14:paraId="55388AC8" w14:textId="77777777" w:rsidR="002B7254" w:rsidRPr="009827C2" w:rsidRDefault="002B7254" w:rsidP="004F4BBD">
            <w:pPr>
              <w:widowControl w:val="0"/>
              <w:autoSpaceDE w:val="0"/>
              <w:autoSpaceDN w:val="0"/>
              <w:spacing w:line="270" w:lineRule="atLeast"/>
              <w:ind w:left="157" w:right="304"/>
              <w:rPr>
                <w:rFonts w:eastAsia="Arial"/>
                <w:b/>
                <w:lang w:eastAsia="en-GB" w:bidi="en-GB"/>
              </w:rPr>
            </w:pPr>
            <w:r w:rsidRPr="009827C2">
              <w:rPr>
                <w:rFonts w:eastAsia="Arial"/>
                <w:b/>
                <w:lang w:eastAsia="en-GB" w:bidi="en-GB"/>
              </w:rPr>
              <w:t>Decision- maker</w:t>
            </w:r>
          </w:p>
        </w:tc>
      </w:tr>
      <w:tr w:rsidR="002B7254" w:rsidRPr="009827C2" w14:paraId="36D71821" w14:textId="77777777" w:rsidTr="002B7254">
        <w:trPr>
          <w:trHeight w:val="551"/>
        </w:trPr>
        <w:tc>
          <w:tcPr>
            <w:tcW w:w="6116" w:type="dxa"/>
            <w:gridSpan w:val="2"/>
            <w:tcBorders>
              <w:top w:val="nil"/>
            </w:tcBorders>
            <w:shd w:val="clear" w:color="auto" w:fill="FFFFFF" w:themeFill="background1"/>
          </w:tcPr>
          <w:p w14:paraId="7203BF19" w14:textId="77777777" w:rsidR="002B7254" w:rsidRPr="009827C2" w:rsidRDefault="002B7254" w:rsidP="004F4BBD">
            <w:pPr>
              <w:widowControl w:val="0"/>
              <w:autoSpaceDE w:val="0"/>
              <w:autoSpaceDN w:val="0"/>
              <w:spacing w:line="270" w:lineRule="atLeast"/>
              <w:ind w:left="196" w:right="929"/>
              <w:rPr>
                <w:rFonts w:eastAsia="Arial"/>
                <w:lang w:eastAsia="en-GB" w:bidi="en-GB"/>
              </w:rPr>
            </w:pPr>
            <w:r w:rsidRPr="009827C2">
              <w:rPr>
                <w:rFonts w:eastAsia="Arial"/>
                <w:color w:val="221F1F"/>
                <w:lang w:eastAsia="en-GB" w:bidi="en-GB"/>
              </w:rPr>
              <w:t>Schedule 2, paragraph 35 – notice requiring the commencement of pharmaceutical services</w:t>
            </w:r>
          </w:p>
        </w:tc>
        <w:tc>
          <w:tcPr>
            <w:tcW w:w="1984" w:type="dxa"/>
            <w:tcBorders>
              <w:top w:val="nil"/>
            </w:tcBorders>
            <w:shd w:val="clear" w:color="auto" w:fill="FFFFFF" w:themeFill="background1"/>
          </w:tcPr>
          <w:p w14:paraId="14C724AF" w14:textId="77777777" w:rsidR="002B7254" w:rsidRPr="009827C2" w:rsidRDefault="002B7254" w:rsidP="004F4BBD">
            <w:pPr>
              <w:widowControl w:val="0"/>
              <w:autoSpaceDE w:val="0"/>
              <w:autoSpaceDN w:val="0"/>
              <w:spacing w:line="270" w:lineRule="atLeast"/>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52B9E761" w14:textId="77777777" w:rsidTr="004F4BBD">
        <w:trPr>
          <w:trHeight w:val="829"/>
        </w:trPr>
        <w:tc>
          <w:tcPr>
            <w:tcW w:w="6116" w:type="dxa"/>
            <w:gridSpan w:val="2"/>
          </w:tcPr>
          <w:p w14:paraId="74C5798F" w14:textId="77777777" w:rsidR="002B7254" w:rsidRPr="009827C2" w:rsidRDefault="002B7254" w:rsidP="004F4BBD">
            <w:pPr>
              <w:widowControl w:val="0"/>
              <w:autoSpaceDE w:val="0"/>
              <w:autoSpaceDN w:val="0"/>
              <w:spacing w:before="1" w:line="270" w:lineRule="atLeast"/>
              <w:ind w:left="196" w:right="449"/>
              <w:rPr>
                <w:rFonts w:eastAsia="Arial"/>
                <w:lang w:eastAsia="en-GB" w:bidi="en-GB"/>
              </w:rPr>
            </w:pPr>
            <w:r w:rsidRPr="009827C2">
              <w:rPr>
                <w:rFonts w:eastAsia="Arial"/>
                <w:color w:val="221F1F"/>
                <w:lang w:eastAsia="en-GB" w:bidi="en-GB"/>
              </w:rPr>
              <w:t>Schedule 4, paragraph 23(1)/Schedule 5, paragraph 13(1) – consideration of a request to temporarily suspend the provision of services (fixed period)</w:t>
            </w:r>
          </w:p>
        </w:tc>
        <w:tc>
          <w:tcPr>
            <w:tcW w:w="1984" w:type="dxa"/>
          </w:tcPr>
          <w:p w14:paraId="56D55F67" w14:textId="77777777" w:rsidR="002B7254" w:rsidRPr="009827C2" w:rsidRDefault="002B7254" w:rsidP="004F4BBD">
            <w:pPr>
              <w:widowControl w:val="0"/>
              <w:autoSpaceDE w:val="0"/>
              <w:autoSpaceDN w:val="0"/>
              <w:spacing w:before="1"/>
              <w:ind w:left="157"/>
              <w:rPr>
                <w:rFonts w:eastAsia="Arial"/>
                <w:lang w:eastAsia="en-GB" w:bidi="en-GB"/>
              </w:rPr>
            </w:pPr>
            <w:r w:rsidRPr="009827C2">
              <w:rPr>
                <w:rFonts w:eastAsia="Arial"/>
                <w:color w:val="221F1F"/>
                <w:lang w:eastAsia="en-GB" w:bidi="en-GB"/>
              </w:rPr>
              <w:t>Subcommittee</w:t>
            </w:r>
          </w:p>
        </w:tc>
      </w:tr>
      <w:tr w:rsidR="002B7254" w:rsidRPr="009827C2" w14:paraId="37B1324B" w14:textId="77777777" w:rsidTr="004F4BBD">
        <w:trPr>
          <w:trHeight w:val="827"/>
        </w:trPr>
        <w:tc>
          <w:tcPr>
            <w:tcW w:w="6116" w:type="dxa"/>
            <w:gridSpan w:val="2"/>
          </w:tcPr>
          <w:p w14:paraId="40EE62D5" w14:textId="77777777" w:rsidR="002B7254" w:rsidRPr="009827C2" w:rsidRDefault="002B7254" w:rsidP="004F4BBD">
            <w:pPr>
              <w:widowControl w:val="0"/>
              <w:autoSpaceDE w:val="0"/>
              <w:autoSpaceDN w:val="0"/>
              <w:spacing w:line="270" w:lineRule="atLeast"/>
              <w:ind w:left="196" w:right="9"/>
              <w:rPr>
                <w:rFonts w:eastAsia="Arial"/>
                <w:lang w:eastAsia="en-GB" w:bidi="en-GB"/>
              </w:rPr>
            </w:pPr>
            <w:r w:rsidRPr="009827C2">
              <w:rPr>
                <w:rFonts w:eastAsia="Arial"/>
                <w:color w:val="221F1F"/>
                <w:lang w:eastAsia="en-GB" w:bidi="en-GB"/>
              </w:rPr>
              <w:t>Schedule 4, paragraphs 23–25/Schedule 5, paragraphs 13–15 – decision to direct a contractor to open at certain times on certain days</w:t>
            </w:r>
          </w:p>
        </w:tc>
        <w:tc>
          <w:tcPr>
            <w:tcW w:w="1984" w:type="dxa"/>
          </w:tcPr>
          <w:p w14:paraId="1452631E"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Subcommittee</w:t>
            </w:r>
          </w:p>
        </w:tc>
      </w:tr>
      <w:tr w:rsidR="002B7254" w:rsidRPr="009827C2" w14:paraId="5060D2FC" w14:textId="77777777" w:rsidTr="004F4BBD">
        <w:trPr>
          <w:trHeight w:val="827"/>
        </w:trPr>
        <w:tc>
          <w:tcPr>
            <w:tcW w:w="6116" w:type="dxa"/>
            <w:gridSpan w:val="2"/>
          </w:tcPr>
          <w:p w14:paraId="23E32A29" w14:textId="77777777" w:rsidR="002B7254" w:rsidRPr="009827C2" w:rsidRDefault="002B7254" w:rsidP="004F4BBD">
            <w:pPr>
              <w:widowControl w:val="0"/>
              <w:autoSpaceDE w:val="0"/>
              <w:autoSpaceDN w:val="0"/>
              <w:ind w:left="196"/>
              <w:rPr>
                <w:rFonts w:eastAsia="Arial"/>
                <w:lang w:eastAsia="en-GB" w:bidi="en-GB"/>
              </w:rPr>
            </w:pPr>
            <w:r w:rsidRPr="009827C2">
              <w:rPr>
                <w:rFonts w:eastAsia="Arial"/>
                <w:color w:val="221F1F"/>
                <w:lang w:eastAsia="en-GB" w:bidi="en-GB"/>
              </w:rPr>
              <w:t>Schedule 4, paragraph 23(10)/Schedule 5, paragraph 9</w:t>
            </w:r>
          </w:p>
          <w:p w14:paraId="5CD5223C" w14:textId="77777777" w:rsidR="002B7254" w:rsidRPr="009827C2" w:rsidRDefault="002B7254" w:rsidP="004F4BBD">
            <w:pPr>
              <w:widowControl w:val="0"/>
              <w:autoSpaceDE w:val="0"/>
              <w:autoSpaceDN w:val="0"/>
              <w:spacing w:line="270" w:lineRule="atLeast"/>
              <w:ind w:left="196" w:right="183"/>
              <w:rPr>
                <w:rFonts w:eastAsia="Arial"/>
                <w:lang w:eastAsia="en-GB" w:bidi="en-GB"/>
              </w:rPr>
            </w:pPr>
            <w:r w:rsidRPr="009827C2">
              <w:rPr>
                <w:rFonts w:eastAsia="Arial"/>
                <w:color w:val="221F1F"/>
                <w:lang w:eastAsia="en-GB" w:bidi="en-GB"/>
              </w:rPr>
              <w:t>– review of reason for temporary suspension within the control of the contractor</w:t>
            </w:r>
          </w:p>
        </w:tc>
        <w:tc>
          <w:tcPr>
            <w:tcW w:w="1984" w:type="dxa"/>
          </w:tcPr>
          <w:p w14:paraId="778F529A" w14:textId="77777777" w:rsidR="002B7254" w:rsidRPr="009827C2" w:rsidRDefault="002B7254" w:rsidP="004F4BBD">
            <w:pPr>
              <w:widowControl w:val="0"/>
              <w:autoSpaceDE w:val="0"/>
              <w:autoSpaceDN w:val="0"/>
              <w:ind w:left="157"/>
              <w:rPr>
                <w:rFonts w:eastAsia="Arial"/>
                <w:lang w:eastAsia="en-GB" w:bidi="en-GB"/>
              </w:rPr>
            </w:pPr>
            <w:r w:rsidRPr="009827C2">
              <w:rPr>
                <w:rFonts w:eastAsia="Arial"/>
                <w:color w:val="221F1F"/>
                <w:lang w:eastAsia="en-GB" w:bidi="en-GB"/>
              </w:rPr>
              <w:t>Subcommittee</w:t>
            </w:r>
          </w:p>
        </w:tc>
      </w:tr>
      <w:tr w:rsidR="002B7254" w:rsidRPr="009827C2" w14:paraId="681367E9" w14:textId="77777777" w:rsidTr="004F4BBD">
        <w:trPr>
          <w:trHeight w:val="826"/>
        </w:trPr>
        <w:tc>
          <w:tcPr>
            <w:tcW w:w="6116" w:type="dxa"/>
            <w:gridSpan w:val="2"/>
          </w:tcPr>
          <w:p w14:paraId="2D8ADCE6" w14:textId="77777777" w:rsidR="002B7254" w:rsidRPr="009827C2" w:rsidRDefault="002B7254" w:rsidP="004F4BBD">
            <w:pPr>
              <w:widowControl w:val="0"/>
              <w:autoSpaceDE w:val="0"/>
              <w:autoSpaceDN w:val="0"/>
              <w:spacing w:before="4" w:line="276" w:lineRule="exact"/>
              <w:ind w:left="196" w:right="208"/>
              <w:rPr>
                <w:rFonts w:eastAsia="Arial"/>
                <w:lang w:eastAsia="en-GB" w:bidi="en-GB"/>
              </w:rPr>
            </w:pPr>
            <w:r w:rsidRPr="009827C2">
              <w:rPr>
                <w:rFonts w:eastAsia="Arial"/>
                <w:color w:val="221F1F"/>
                <w:lang w:eastAsia="en-GB" w:bidi="en-GB"/>
              </w:rPr>
              <w:t>Schedule 4, paragraph 26/Schedule 5, paragraph 16 – determination of core opening hours instigated by the contractor</w:t>
            </w:r>
          </w:p>
        </w:tc>
        <w:tc>
          <w:tcPr>
            <w:tcW w:w="1984" w:type="dxa"/>
          </w:tcPr>
          <w:p w14:paraId="434924BE" w14:textId="77777777" w:rsidR="002B7254" w:rsidRPr="009827C2" w:rsidRDefault="002B7254" w:rsidP="004F4BBD">
            <w:pPr>
              <w:widowControl w:val="0"/>
              <w:autoSpaceDE w:val="0"/>
              <w:autoSpaceDN w:val="0"/>
              <w:spacing w:line="276" w:lineRule="exact"/>
              <w:ind w:left="157"/>
              <w:rPr>
                <w:rFonts w:eastAsia="Arial"/>
                <w:lang w:eastAsia="en-GB" w:bidi="en-GB"/>
              </w:rPr>
            </w:pPr>
            <w:r w:rsidRPr="009827C2">
              <w:rPr>
                <w:rFonts w:eastAsia="Arial"/>
                <w:color w:val="221F1F"/>
                <w:lang w:eastAsia="en-GB" w:bidi="en-GB"/>
              </w:rPr>
              <w:t>Subcommittee</w:t>
            </w:r>
          </w:p>
        </w:tc>
      </w:tr>
      <w:tr w:rsidR="002B7254" w:rsidRPr="009827C2" w14:paraId="593E48C1" w14:textId="77777777" w:rsidTr="004F4BBD">
        <w:trPr>
          <w:trHeight w:val="1099"/>
        </w:trPr>
        <w:tc>
          <w:tcPr>
            <w:tcW w:w="6116" w:type="dxa"/>
            <w:gridSpan w:val="2"/>
          </w:tcPr>
          <w:p w14:paraId="4B863C25" w14:textId="77777777" w:rsidR="002B7254" w:rsidRPr="009827C2" w:rsidRDefault="002B7254" w:rsidP="004F4BBD">
            <w:pPr>
              <w:widowControl w:val="0"/>
              <w:autoSpaceDE w:val="0"/>
              <w:autoSpaceDN w:val="0"/>
              <w:spacing w:line="276" w:lineRule="exact"/>
              <w:ind w:left="196" w:right="208"/>
              <w:rPr>
                <w:rFonts w:eastAsia="Arial"/>
                <w:lang w:eastAsia="en-GB" w:bidi="en-GB"/>
              </w:rPr>
            </w:pPr>
            <w:r w:rsidRPr="009827C2">
              <w:rPr>
                <w:rFonts w:eastAsia="Arial"/>
                <w:color w:val="221F1F"/>
                <w:lang w:eastAsia="en-GB" w:bidi="en-GB"/>
              </w:rPr>
              <w:t>Schedule 4, paragraph 27/Schedule 5, paragraph 17 – temporary opening hours and closures during an emergency requiring the flexible provision or pharmaceutical services</w:t>
            </w:r>
          </w:p>
        </w:tc>
        <w:tc>
          <w:tcPr>
            <w:tcW w:w="1984" w:type="dxa"/>
          </w:tcPr>
          <w:p w14:paraId="77BE43DC" w14:textId="77777777" w:rsidR="002B7254" w:rsidRPr="009827C2" w:rsidRDefault="002B7254" w:rsidP="004F4BBD">
            <w:pPr>
              <w:widowControl w:val="0"/>
              <w:autoSpaceDE w:val="0"/>
              <w:autoSpaceDN w:val="0"/>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3DCBF9C6" w14:textId="77777777" w:rsidTr="004F4BBD">
        <w:trPr>
          <w:trHeight w:val="547"/>
        </w:trPr>
        <w:tc>
          <w:tcPr>
            <w:tcW w:w="6116" w:type="dxa"/>
            <w:gridSpan w:val="2"/>
          </w:tcPr>
          <w:p w14:paraId="4579FB70" w14:textId="77777777" w:rsidR="002B7254" w:rsidRPr="009827C2" w:rsidRDefault="002B7254" w:rsidP="004F4BBD">
            <w:pPr>
              <w:widowControl w:val="0"/>
              <w:autoSpaceDE w:val="0"/>
              <w:autoSpaceDN w:val="0"/>
              <w:spacing w:line="276" w:lineRule="exact"/>
              <w:ind w:left="196" w:right="677"/>
              <w:rPr>
                <w:rFonts w:eastAsia="Arial"/>
                <w:lang w:eastAsia="en-GB" w:bidi="en-GB"/>
              </w:rPr>
            </w:pPr>
            <w:r w:rsidRPr="009827C2">
              <w:rPr>
                <w:rFonts w:eastAsia="Arial"/>
                <w:color w:val="221F1F"/>
                <w:lang w:eastAsia="en-GB" w:bidi="en-GB"/>
              </w:rPr>
              <w:t>Schedule 4, paragraph 27B – flexible provision of relevant immunisation services during a pandemic</w:t>
            </w:r>
          </w:p>
        </w:tc>
        <w:tc>
          <w:tcPr>
            <w:tcW w:w="1984" w:type="dxa"/>
          </w:tcPr>
          <w:p w14:paraId="73AFE408" w14:textId="77777777" w:rsidR="002B7254" w:rsidRPr="009827C2" w:rsidRDefault="002B7254" w:rsidP="004F4BBD">
            <w:pPr>
              <w:widowControl w:val="0"/>
              <w:autoSpaceDE w:val="0"/>
              <w:autoSpaceDN w:val="0"/>
              <w:spacing w:line="272" w:lineRule="exact"/>
              <w:ind w:left="157"/>
              <w:rPr>
                <w:rFonts w:eastAsia="Arial"/>
                <w:lang w:eastAsia="en-GB" w:bidi="en-GB"/>
              </w:rPr>
            </w:pPr>
            <w:r w:rsidRPr="009827C2">
              <w:rPr>
                <w:rFonts w:eastAsia="Arial"/>
                <w:color w:val="221F1F"/>
                <w:lang w:eastAsia="en-GB" w:bidi="en-GB"/>
              </w:rPr>
              <w:t>Officer</w:t>
            </w:r>
          </w:p>
        </w:tc>
      </w:tr>
      <w:tr w:rsidR="002B7254" w:rsidRPr="009827C2" w14:paraId="23B8F115" w14:textId="77777777" w:rsidTr="004F4BBD">
        <w:trPr>
          <w:trHeight w:val="822"/>
        </w:trPr>
        <w:tc>
          <w:tcPr>
            <w:tcW w:w="6116" w:type="dxa"/>
            <w:gridSpan w:val="2"/>
          </w:tcPr>
          <w:p w14:paraId="5539E5F0" w14:textId="77777777" w:rsidR="002B7254" w:rsidRPr="009827C2" w:rsidRDefault="002B7254" w:rsidP="004F4BBD">
            <w:pPr>
              <w:widowControl w:val="0"/>
              <w:autoSpaceDE w:val="0"/>
              <w:autoSpaceDN w:val="0"/>
              <w:ind w:left="196" w:right="116"/>
              <w:rPr>
                <w:rFonts w:eastAsia="Arial"/>
                <w:lang w:eastAsia="en-GB" w:bidi="en-GB"/>
              </w:rPr>
            </w:pPr>
            <w:r w:rsidRPr="009827C2">
              <w:rPr>
                <w:rFonts w:eastAsia="Arial"/>
                <w:color w:val="221F1F"/>
                <w:lang w:eastAsia="en-GB" w:bidi="en-GB"/>
              </w:rPr>
              <w:t>Schedule 4, paragraph 28A – premises requirements in respect of consultation rooms – decisions that a</w:t>
            </w:r>
          </w:p>
          <w:p w14:paraId="29370D31" w14:textId="77777777" w:rsidR="002B7254" w:rsidRPr="009827C2" w:rsidRDefault="002B7254" w:rsidP="004F4BBD">
            <w:pPr>
              <w:widowControl w:val="0"/>
              <w:autoSpaceDE w:val="0"/>
              <w:autoSpaceDN w:val="0"/>
              <w:spacing w:line="255" w:lineRule="exact"/>
              <w:ind w:left="196"/>
              <w:rPr>
                <w:rFonts w:eastAsia="Arial"/>
                <w:lang w:eastAsia="en-GB" w:bidi="en-GB"/>
              </w:rPr>
            </w:pPr>
            <w:r w:rsidRPr="009827C2">
              <w:rPr>
                <w:rFonts w:eastAsia="Arial"/>
                <w:color w:val="221F1F"/>
                <w:lang w:eastAsia="en-GB" w:bidi="en-GB"/>
              </w:rPr>
              <w:t>pharmacy premises is too small</w:t>
            </w:r>
          </w:p>
        </w:tc>
        <w:tc>
          <w:tcPr>
            <w:tcW w:w="1984" w:type="dxa"/>
          </w:tcPr>
          <w:p w14:paraId="4001E4F2" w14:textId="77777777" w:rsidR="002B7254" w:rsidRPr="009827C2" w:rsidRDefault="002B7254" w:rsidP="004F4BBD">
            <w:pPr>
              <w:widowControl w:val="0"/>
              <w:autoSpaceDE w:val="0"/>
              <w:autoSpaceDN w:val="0"/>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360CEA8C" w14:textId="77777777" w:rsidTr="004F4BBD">
        <w:trPr>
          <w:trHeight w:val="1655"/>
        </w:trPr>
        <w:tc>
          <w:tcPr>
            <w:tcW w:w="6116" w:type="dxa"/>
            <w:gridSpan w:val="2"/>
          </w:tcPr>
          <w:p w14:paraId="09056BF4" w14:textId="77777777" w:rsidR="002B7254" w:rsidRPr="009827C2" w:rsidRDefault="002B7254" w:rsidP="004F4BBD">
            <w:pPr>
              <w:widowControl w:val="0"/>
              <w:autoSpaceDE w:val="0"/>
              <w:autoSpaceDN w:val="0"/>
              <w:spacing w:line="270" w:lineRule="atLeast"/>
              <w:ind w:left="196" w:right="63"/>
              <w:rPr>
                <w:rFonts w:eastAsia="Arial"/>
                <w:lang w:eastAsia="en-GB" w:bidi="en-GB"/>
              </w:rPr>
            </w:pPr>
            <w:r w:rsidRPr="009827C2">
              <w:rPr>
                <w:rFonts w:eastAsia="Arial"/>
                <w:color w:val="221F1F"/>
                <w:lang w:eastAsia="en-GB" w:bidi="en-GB"/>
              </w:rPr>
              <w:t>Schedule 5, paragraph 13(6) – arranging for amendments to be made to the relevant pharmaceutical list following notification of a change of supplementary opening hours (where change is not intended to come into effect sooner than three months after receipt of notification of change)</w:t>
            </w:r>
          </w:p>
        </w:tc>
        <w:tc>
          <w:tcPr>
            <w:tcW w:w="1984" w:type="dxa"/>
          </w:tcPr>
          <w:p w14:paraId="300B2165" w14:textId="77777777" w:rsidR="002B7254" w:rsidRPr="009827C2" w:rsidRDefault="002B7254" w:rsidP="004F4BBD">
            <w:pPr>
              <w:widowControl w:val="0"/>
              <w:autoSpaceDE w:val="0"/>
              <w:autoSpaceDN w:val="0"/>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7ED9B2B3" w14:textId="77777777" w:rsidTr="004F4BBD">
        <w:trPr>
          <w:trHeight w:val="552"/>
        </w:trPr>
        <w:tc>
          <w:tcPr>
            <w:tcW w:w="6116" w:type="dxa"/>
            <w:gridSpan w:val="2"/>
          </w:tcPr>
          <w:p w14:paraId="288EC1F2" w14:textId="77777777" w:rsidR="002B7254" w:rsidRPr="009827C2" w:rsidRDefault="002B7254" w:rsidP="004F4BBD">
            <w:pPr>
              <w:widowControl w:val="0"/>
              <w:autoSpaceDE w:val="0"/>
              <w:autoSpaceDN w:val="0"/>
              <w:spacing w:before="1" w:line="270" w:lineRule="atLeast"/>
              <w:ind w:left="196" w:right="450"/>
              <w:rPr>
                <w:rFonts w:eastAsia="Arial"/>
                <w:lang w:eastAsia="en-GB" w:bidi="en-GB"/>
              </w:rPr>
            </w:pPr>
            <w:r w:rsidRPr="009827C2">
              <w:rPr>
                <w:rFonts w:eastAsia="Arial"/>
                <w:color w:val="221F1F"/>
                <w:lang w:eastAsia="en-GB" w:bidi="en-GB"/>
              </w:rPr>
              <w:t>Decisions relating to compliance with the dispensing doctor terms of service</w:t>
            </w:r>
          </w:p>
        </w:tc>
        <w:tc>
          <w:tcPr>
            <w:tcW w:w="1984" w:type="dxa"/>
          </w:tcPr>
          <w:p w14:paraId="07B32687" w14:textId="77777777" w:rsidR="002B7254" w:rsidRPr="009827C2" w:rsidRDefault="002B7254" w:rsidP="004F4BBD">
            <w:pPr>
              <w:widowControl w:val="0"/>
              <w:autoSpaceDE w:val="0"/>
              <w:autoSpaceDN w:val="0"/>
              <w:spacing w:before="1"/>
              <w:ind w:left="157"/>
              <w:rPr>
                <w:rFonts w:eastAsia="Arial"/>
                <w:lang w:eastAsia="en-GB" w:bidi="en-GB"/>
              </w:rPr>
            </w:pPr>
            <w:r w:rsidRPr="009827C2">
              <w:rPr>
                <w:rFonts w:eastAsia="Arial"/>
                <w:color w:val="221F1F"/>
                <w:lang w:eastAsia="en-GB" w:bidi="en-GB"/>
              </w:rPr>
              <w:t>Subcommittee</w:t>
            </w:r>
          </w:p>
        </w:tc>
      </w:tr>
      <w:tr w:rsidR="002B7254" w:rsidRPr="009827C2" w14:paraId="594AA782" w14:textId="77777777" w:rsidTr="004F4BBD">
        <w:trPr>
          <w:trHeight w:val="551"/>
        </w:trPr>
        <w:tc>
          <w:tcPr>
            <w:tcW w:w="6116" w:type="dxa"/>
            <w:gridSpan w:val="2"/>
          </w:tcPr>
          <w:p w14:paraId="00A97CEF" w14:textId="77777777" w:rsidR="002B7254" w:rsidRPr="009827C2" w:rsidRDefault="002B7254" w:rsidP="004F4BBD">
            <w:pPr>
              <w:widowControl w:val="0"/>
              <w:autoSpaceDE w:val="0"/>
              <w:autoSpaceDN w:val="0"/>
              <w:spacing w:line="270" w:lineRule="atLeast"/>
              <w:ind w:left="196" w:right="1036"/>
              <w:rPr>
                <w:rFonts w:eastAsia="Arial"/>
                <w:lang w:eastAsia="en-GB" w:bidi="en-GB"/>
              </w:rPr>
            </w:pPr>
            <w:r w:rsidRPr="009827C2">
              <w:rPr>
                <w:rFonts w:eastAsia="Arial"/>
                <w:color w:val="221F1F"/>
                <w:lang w:eastAsia="en-GB" w:bidi="en-GB"/>
              </w:rPr>
              <w:t>Approval of responses to an appeal against, or challenge to, decisions of the committee</w:t>
            </w:r>
          </w:p>
        </w:tc>
        <w:tc>
          <w:tcPr>
            <w:tcW w:w="1984" w:type="dxa"/>
          </w:tcPr>
          <w:p w14:paraId="012A92B4" w14:textId="77777777" w:rsidR="002B7254" w:rsidRPr="009827C2" w:rsidRDefault="002B7254" w:rsidP="004F4BBD">
            <w:pPr>
              <w:widowControl w:val="0"/>
              <w:autoSpaceDE w:val="0"/>
              <w:autoSpaceDN w:val="0"/>
              <w:spacing w:line="270" w:lineRule="atLeast"/>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0C257A3A" w14:textId="77777777" w:rsidTr="004F4BBD">
        <w:trPr>
          <w:trHeight w:val="550"/>
        </w:trPr>
        <w:tc>
          <w:tcPr>
            <w:tcW w:w="6116" w:type="dxa"/>
            <w:gridSpan w:val="2"/>
          </w:tcPr>
          <w:p w14:paraId="2008FA55" w14:textId="77777777" w:rsidR="002B7254" w:rsidRPr="009827C2" w:rsidRDefault="002B7254" w:rsidP="004F4BBD">
            <w:pPr>
              <w:widowControl w:val="0"/>
              <w:autoSpaceDE w:val="0"/>
              <w:autoSpaceDN w:val="0"/>
              <w:spacing w:before="4" w:line="276" w:lineRule="exact"/>
              <w:ind w:left="196" w:right="1036"/>
              <w:rPr>
                <w:rFonts w:eastAsia="Arial"/>
                <w:lang w:eastAsia="en-GB" w:bidi="en-GB"/>
              </w:rPr>
            </w:pPr>
            <w:r w:rsidRPr="009827C2">
              <w:rPr>
                <w:rFonts w:eastAsia="Arial"/>
                <w:color w:val="221F1F"/>
                <w:lang w:eastAsia="en-GB" w:bidi="en-GB"/>
              </w:rPr>
              <w:t>Approval of responses to an appeal against, or challenge to, decisions of the officer</w:t>
            </w:r>
          </w:p>
        </w:tc>
        <w:tc>
          <w:tcPr>
            <w:tcW w:w="1984" w:type="dxa"/>
          </w:tcPr>
          <w:p w14:paraId="137860C7" w14:textId="77777777" w:rsidR="002B7254" w:rsidRPr="009827C2" w:rsidRDefault="002B7254" w:rsidP="004F4BBD">
            <w:pPr>
              <w:widowControl w:val="0"/>
              <w:autoSpaceDE w:val="0"/>
              <w:autoSpaceDN w:val="0"/>
              <w:spacing w:before="4" w:line="276" w:lineRule="exact"/>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6C2AA7CD" w14:textId="77777777" w:rsidTr="004F4BBD">
        <w:trPr>
          <w:trHeight w:val="547"/>
        </w:trPr>
        <w:tc>
          <w:tcPr>
            <w:tcW w:w="6116" w:type="dxa"/>
            <w:gridSpan w:val="2"/>
          </w:tcPr>
          <w:p w14:paraId="14CEC4EF" w14:textId="77777777" w:rsidR="002B7254" w:rsidRPr="009827C2" w:rsidRDefault="002B7254" w:rsidP="004F4BBD">
            <w:pPr>
              <w:widowControl w:val="0"/>
              <w:autoSpaceDE w:val="0"/>
              <w:autoSpaceDN w:val="0"/>
              <w:spacing w:line="276" w:lineRule="exact"/>
              <w:ind w:left="196" w:right="530"/>
              <w:rPr>
                <w:rFonts w:eastAsia="Arial"/>
                <w:lang w:eastAsia="en-GB" w:bidi="en-GB"/>
              </w:rPr>
            </w:pPr>
            <w:r w:rsidRPr="009827C2">
              <w:rPr>
                <w:rFonts w:eastAsia="Arial"/>
                <w:color w:val="221F1F"/>
                <w:lang w:eastAsia="en-GB" w:bidi="en-GB"/>
              </w:rPr>
              <w:t>Determination of further action where community pharmacy assurance framework identifies concerns</w:t>
            </w:r>
          </w:p>
        </w:tc>
        <w:tc>
          <w:tcPr>
            <w:tcW w:w="1984" w:type="dxa"/>
          </w:tcPr>
          <w:p w14:paraId="5B65D1B3" w14:textId="77777777" w:rsidR="002B7254" w:rsidRPr="009827C2" w:rsidRDefault="002B7254" w:rsidP="004F4BBD">
            <w:pPr>
              <w:widowControl w:val="0"/>
              <w:autoSpaceDE w:val="0"/>
              <w:autoSpaceDN w:val="0"/>
              <w:spacing w:line="276" w:lineRule="exact"/>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5AA3F2A6" w14:textId="77777777" w:rsidTr="004F4BBD">
        <w:trPr>
          <w:trHeight w:val="547"/>
        </w:trPr>
        <w:tc>
          <w:tcPr>
            <w:tcW w:w="6116" w:type="dxa"/>
            <w:gridSpan w:val="2"/>
          </w:tcPr>
          <w:p w14:paraId="3B745344" w14:textId="77777777" w:rsidR="002B7254" w:rsidRPr="009827C2" w:rsidRDefault="002B7254" w:rsidP="004F4BBD">
            <w:pPr>
              <w:widowControl w:val="0"/>
              <w:autoSpaceDE w:val="0"/>
              <w:autoSpaceDN w:val="0"/>
              <w:spacing w:line="276" w:lineRule="exact"/>
              <w:ind w:left="196" w:right="23"/>
              <w:rPr>
                <w:rFonts w:eastAsia="Arial"/>
                <w:lang w:eastAsia="en-GB" w:bidi="en-GB"/>
              </w:rPr>
            </w:pPr>
            <w:r w:rsidRPr="009827C2">
              <w:rPr>
                <w:rFonts w:eastAsia="Arial"/>
                <w:color w:val="221F1F"/>
                <w:lang w:eastAsia="en-GB" w:bidi="en-GB"/>
              </w:rPr>
              <w:t>Determination of further action where the contractor fails or refuses to agree a date and time for a visit</w:t>
            </w:r>
          </w:p>
        </w:tc>
        <w:tc>
          <w:tcPr>
            <w:tcW w:w="1984" w:type="dxa"/>
          </w:tcPr>
          <w:p w14:paraId="78AB31D7" w14:textId="77777777" w:rsidR="002B7254" w:rsidRPr="009827C2" w:rsidRDefault="002B7254" w:rsidP="004F4BBD">
            <w:pPr>
              <w:widowControl w:val="0"/>
              <w:autoSpaceDE w:val="0"/>
              <w:autoSpaceDN w:val="0"/>
              <w:spacing w:line="276" w:lineRule="exact"/>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59D05C63" w14:textId="77777777" w:rsidTr="004F4BBD">
        <w:trPr>
          <w:trHeight w:val="1820"/>
        </w:trPr>
        <w:tc>
          <w:tcPr>
            <w:tcW w:w="6116" w:type="dxa"/>
            <w:gridSpan w:val="2"/>
          </w:tcPr>
          <w:p w14:paraId="5EA0B9B9" w14:textId="77777777" w:rsidR="002B7254" w:rsidRPr="009827C2" w:rsidRDefault="002B7254" w:rsidP="004F4BBD">
            <w:pPr>
              <w:widowControl w:val="0"/>
              <w:autoSpaceDE w:val="0"/>
              <w:autoSpaceDN w:val="0"/>
              <w:ind w:left="197" w:right="275"/>
              <w:rPr>
                <w:rFonts w:eastAsia="Arial"/>
                <w:lang w:eastAsia="en-GB" w:bidi="en-GB"/>
              </w:rPr>
            </w:pPr>
            <w:r w:rsidRPr="009827C2">
              <w:rPr>
                <w:rFonts w:eastAsia="Arial"/>
                <w:color w:val="221F1F"/>
                <w:lang w:eastAsia="en-GB" w:bidi="en-GB"/>
              </w:rPr>
              <w:lastRenderedPageBreak/>
              <w:t>Determination of action where any of the following are identified:</w:t>
            </w:r>
          </w:p>
          <w:p w14:paraId="5701CBDE" w14:textId="77777777" w:rsidR="002B7254" w:rsidRPr="009827C2" w:rsidRDefault="002B7254" w:rsidP="002B7254">
            <w:pPr>
              <w:widowControl w:val="0"/>
              <w:numPr>
                <w:ilvl w:val="0"/>
                <w:numId w:val="39"/>
              </w:numPr>
              <w:tabs>
                <w:tab w:val="left" w:pos="859"/>
              </w:tabs>
              <w:autoSpaceDE w:val="0"/>
              <w:autoSpaceDN w:val="0"/>
              <w:spacing w:before="115" w:line="294" w:lineRule="exact"/>
              <w:rPr>
                <w:rFonts w:eastAsia="Arial"/>
                <w:lang w:eastAsia="en-GB" w:bidi="en-GB"/>
              </w:rPr>
            </w:pPr>
            <w:r w:rsidRPr="009827C2">
              <w:rPr>
                <w:rFonts w:eastAsia="Arial"/>
                <w:color w:val="221F1F"/>
                <w:lang w:eastAsia="en-GB" w:bidi="en-GB"/>
              </w:rPr>
              <w:t>patient safety</w:t>
            </w:r>
            <w:r w:rsidRPr="009827C2">
              <w:rPr>
                <w:rFonts w:eastAsia="Arial"/>
                <w:color w:val="221F1F"/>
                <w:spacing w:val="-1"/>
                <w:lang w:eastAsia="en-GB" w:bidi="en-GB"/>
              </w:rPr>
              <w:t xml:space="preserve"> </w:t>
            </w:r>
            <w:r w:rsidRPr="009827C2">
              <w:rPr>
                <w:rFonts w:eastAsia="Arial"/>
                <w:color w:val="221F1F"/>
                <w:lang w:eastAsia="en-GB" w:bidi="en-GB"/>
              </w:rPr>
              <w:t>issues</w:t>
            </w:r>
          </w:p>
          <w:p w14:paraId="7AF6DF6F" w14:textId="77777777" w:rsidR="002B7254" w:rsidRPr="009827C2" w:rsidRDefault="002B7254" w:rsidP="002B7254">
            <w:pPr>
              <w:widowControl w:val="0"/>
              <w:numPr>
                <w:ilvl w:val="0"/>
                <w:numId w:val="39"/>
              </w:numPr>
              <w:tabs>
                <w:tab w:val="left" w:pos="859"/>
              </w:tabs>
              <w:autoSpaceDE w:val="0"/>
              <w:autoSpaceDN w:val="0"/>
              <w:ind w:left="858" w:right="395"/>
              <w:rPr>
                <w:rFonts w:eastAsia="Arial"/>
                <w:lang w:eastAsia="en-GB" w:bidi="en-GB"/>
              </w:rPr>
            </w:pPr>
            <w:r w:rsidRPr="009827C2">
              <w:rPr>
                <w:rFonts w:eastAsia="Arial"/>
                <w:color w:val="221F1F"/>
                <w:lang w:eastAsia="en-GB" w:bidi="en-GB"/>
              </w:rPr>
              <w:t>the commissioner is at risk of material</w:t>
            </w:r>
            <w:r w:rsidRPr="009827C2">
              <w:rPr>
                <w:rFonts w:eastAsia="Arial"/>
                <w:color w:val="221F1F"/>
                <w:spacing w:val="-9"/>
                <w:lang w:eastAsia="en-GB" w:bidi="en-GB"/>
              </w:rPr>
              <w:t xml:space="preserve"> </w:t>
            </w:r>
            <w:r w:rsidRPr="009827C2">
              <w:rPr>
                <w:rFonts w:eastAsia="Arial"/>
                <w:color w:val="221F1F"/>
                <w:lang w:eastAsia="en-GB" w:bidi="en-GB"/>
              </w:rPr>
              <w:t>financial loss, and/or</w:t>
            </w:r>
          </w:p>
          <w:p w14:paraId="6BE692B8" w14:textId="77777777" w:rsidR="002B7254" w:rsidRPr="009827C2" w:rsidRDefault="002B7254" w:rsidP="002B7254">
            <w:pPr>
              <w:widowControl w:val="0"/>
              <w:numPr>
                <w:ilvl w:val="0"/>
                <w:numId w:val="39"/>
              </w:numPr>
              <w:tabs>
                <w:tab w:val="left" w:pos="859"/>
              </w:tabs>
              <w:autoSpaceDE w:val="0"/>
              <w:autoSpaceDN w:val="0"/>
              <w:spacing w:line="270" w:lineRule="exact"/>
              <w:rPr>
                <w:rFonts w:eastAsia="Arial"/>
                <w:lang w:eastAsia="en-GB" w:bidi="en-GB"/>
              </w:rPr>
            </w:pPr>
            <w:r w:rsidRPr="009827C2">
              <w:rPr>
                <w:rFonts w:eastAsia="Arial"/>
                <w:color w:val="221F1F"/>
                <w:lang w:eastAsia="en-GB" w:bidi="en-GB"/>
              </w:rPr>
              <w:t>possible fraudulent or criminal</w:t>
            </w:r>
            <w:r w:rsidRPr="009827C2">
              <w:rPr>
                <w:rFonts w:eastAsia="Arial"/>
                <w:color w:val="221F1F"/>
                <w:spacing w:val="-1"/>
                <w:lang w:eastAsia="en-GB" w:bidi="en-GB"/>
              </w:rPr>
              <w:t xml:space="preserve"> </w:t>
            </w:r>
            <w:r w:rsidRPr="009827C2">
              <w:rPr>
                <w:rFonts w:eastAsia="Arial"/>
                <w:color w:val="221F1F"/>
                <w:lang w:eastAsia="en-GB" w:bidi="en-GB"/>
              </w:rPr>
              <w:t>activity.</w:t>
            </w:r>
          </w:p>
        </w:tc>
        <w:tc>
          <w:tcPr>
            <w:tcW w:w="1984" w:type="dxa"/>
          </w:tcPr>
          <w:p w14:paraId="07977E2E" w14:textId="77777777" w:rsidR="002B7254" w:rsidRPr="009827C2" w:rsidRDefault="002B7254" w:rsidP="004F4BBD">
            <w:pPr>
              <w:widowControl w:val="0"/>
              <w:autoSpaceDE w:val="0"/>
              <w:autoSpaceDN w:val="0"/>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733D0DAB" w14:textId="77777777" w:rsidTr="002B7254">
        <w:trPr>
          <w:gridBefore w:val="1"/>
          <w:wBefore w:w="21" w:type="dxa"/>
          <w:trHeight w:val="561"/>
        </w:trPr>
        <w:tc>
          <w:tcPr>
            <w:tcW w:w="6095" w:type="dxa"/>
            <w:tcBorders>
              <w:top w:val="nil"/>
              <w:left w:val="nil"/>
              <w:bottom w:val="nil"/>
              <w:right w:val="nil"/>
            </w:tcBorders>
            <w:shd w:val="clear" w:color="auto" w:fill="EEECE1" w:themeFill="background2"/>
          </w:tcPr>
          <w:p w14:paraId="29752C37" w14:textId="77777777" w:rsidR="002B7254" w:rsidRPr="009827C2" w:rsidRDefault="002B7254" w:rsidP="004F4BBD">
            <w:pPr>
              <w:widowControl w:val="0"/>
              <w:autoSpaceDE w:val="0"/>
              <w:autoSpaceDN w:val="0"/>
              <w:ind w:left="196"/>
              <w:rPr>
                <w:rFonts w:eastAsia="Arial"/>
                <w:b/>
                <w:lang w:eastAsia="en-GB" w:bidi="en-GB"/>
              </w:rPr>
            </w:pPr>
            <w:r w:rsidRPr="009827C2">
              <w:rPr>
                <w:rFonts w:eastAsia="Arial"/>
                <w:b/>
                <w:lang w:eastAsia="en-GB" w:bidi="en-GB"/>
              </w:rPr>
              <w:t>Regulatory provision</w:t>
            </w:r>
          </w:p>
        </w:tc>
        <w:tc>
          <w:tcPr>
            <w:tcW w:w="1984" w:type="dxa"/>
            <w:tcBorders>
              <w:top w:val="nil"/>
              <w:left w:val="nil"/>
              <w:bottom w:val="nil"/>
              <w:right w:val="nil"/>
            </w:tcBorders>
            <w:shd w:val="clear" w:color="auto" w:fill="EEECE1" w:themeFill="background2"/>
          </w:tcPr>
          <w:p w14:paraId="0F2E0330" w14:textId="77777777" w:rsidR="002B7254" w:rsidRPr="009827C2" w:rsidRDefault="002B7254" w:rsidP="004F4BBD">
            <w:pPr>
              <w:widowControl w:val="0"/>
              <w:autoSpaceDE w:val="0"/>
              <w:autoSpaceDN w:val="0"/>
              <w:spacing w:line="270" w:lineRule="atLeast"/>
              <w:ind w:left="157" w:right="304"/>
              <w:rPr>
                <w:rFonts w:eastAsia="Arial"/>
                <w:b/>
                <w:lang w:eastAsia="en-GB" w:bidi="en-GB"/>
              </w:rPr>
            </w:pPr>
            <w:r w:rsidRPr="009827C2">
              <w:rPr>
                <w:rFonts w:eastAsia="Arial"/>
                <w:b/>
                <w:lang w:eastAsia="en-GB" w:bidi="en-GB"/>
              </w:rPr>
              <w:t>Decision- maker</w:t>
            </w:r>
          </w:p>
        </w:tc>
      </w:tr>
      <w:tr w:rsidR="002B7254" w:rsidRPr="009827C2" w14:paraId="31E6EB3B" w14:textId="77777777" w:rsidTr="004F4BBD">
        <w:trPr>
          <w:gridBefore w:val="1"/>
          <w:wBefore w:w="21" w:type="dxa"/>
          <w:trHeight w:val="828"/>
        </w:trPr>
        <w:tc>
          <w:tcPr>
            <w:tcW w:w="6095" w:type="dxa"/>
            <w:tcBorders>
              <w:top w:val="nil"/>
            </w:tcBorders>
          </w:tcPr>
          <w:p w14:paraId="08425308" w14:textId="77777777" w:rsidR="002B7254" w:rsidRPr="009827C2" w:rsidRDefault="002B7254" w:rsidP="004F4BBD">
            <w:pPr>
              <w:widowControl w:val="0"/>
              <w:autoSpaceDE w:val="0"/>
              <w:autoSpaceDN w:val="0"/>
              <w:ind w:left="196" w:right="410"/>
              <w:rPr>
                <w:rFonts w:eastAsia="Arial"/>
                <w:lang w:eastAsia="en-GB" w:bidi="en-GB"/>
              </w:rPr>
            </w:pPr>
            <w:r w:rsidRPr="009827C2">
              <w:rPr>
                <w:rFonts w:eastAsia="Arial"/>
                <w:color w:val="221F1F"/>
                <w:lang w:eastAsia="en-GB" w:bidi="en-GB"/>
              </w:rPr>
              <w:t>Determination of action where the contractor fails to complete the required actions or fails to respond to a</w:t>
            </w:r>
          </w:p>
          <w:p w14:paraId="737821C2" w14:textId="77777777" w:rsidR="002B7254" w:rsidRPr="009827C2" w:rsidRDefault="002B7254" w:rsidP="004F4BBD">
            <w:pPr>
              <w:widowControl w:val="0"/>
              <w:autoSpaceDE w:val="0"/>
              <w:autoSpaceDN w:val="0"/>
              <w:spacing w:before="1" w:line="255" w:lineRule="exact"/>
              <w:ind w:left="196"/>
              <w:rPr>
                <w:rFonts w:eastAsia="Arial"/>
                <w:lang w:eastAsia="en-GB" w:bidi="en-GB"/>
              </w:rPr>
            </w:pPr>
            <w:r w:rsidRPr="009827C2">
              <w:rPr>
                <w:rFonts w:eastAsia="Arial"/>
                <w:color w:val="221F1F"/>
                <w:lang w:eastAsia="en-GB" w:bidi="en-GB"/>
              </w:rPr>
              <w:t>visit report</w:t>
            </w:r>
          </w:p>
        </w:tc>
        <w:tc>
          <w:tcPr>
            <w:tcW w:w="1984" w:type="dxa"/>
            <w:tcBorders>
              <w:top w:val="nil"/>
            </w:tcBorders>
          </w:tcPr>
          <w:p w14:paraId="62B41718" w14:textId="77777777" w:rsidR="002B7254" w:rsidRPr="009827C2" w:rsidRDefault="002B7254" w:rsidP="004F4BBD">
            <w:pPr>
              <w:widowControl w:val="0"/>
              <w:autoSpaceDE w:val="0"/>
              <w:autoSpaceDN w:val="0"/>
              <w:ind w:left="157" w:right="268"/>
              <w:rPr>
                <w:rFonts w:eastAsia="Arial"/>
                <w:lang w:eastAsia="en-GB" w:bidi="en-GB"/>
              </w:rPr>
            </w:pPr>
            <w:r w:rsidRPr="009827C2">
              <w:rPr>
                <w:rFonts w:eastAsia="Arial"/>
                <w:color w:val="221F1F"/>
                <w:lang w:eastAsia="en-GB" w:bidi="en-GB"/>
              </w:rPr>
              <w:t>Officer or Subcommittee</w:t>
            </w:r>
          </w:p>
        </w:tc>
      </w:tr>
      <w:tr w:rsidR="002B7254" w:rsidRPr="009827C2" w14:paraId="5B3007B1" w14:textId="77777777" w:rsidTr="004F4BBD">
        <w:trPr>
          <w:gridBefore w:val="1"/>
          <w:wBefore w:w="21" w:type="dxa"/>
          <w:trHeight w:val="828"/>
        </w:trPr>
        <w:tc>
          <w:tcPr>
            <w:tcW w:w="6095" w:type="dxa"/>
          </w:tcPr>
          <w:p w14:paraId="02DB0569" w14:textId="77777777" w:rsidR="002B7254" w:rsidRPr="009827C2" w:rsidRDefault="002B7254" w:rsidP="004F4BBD">
            <w:pPr>
              <w:widowControl w:val="0"/>
              <w:autoSpaceDE w:val="0"/>
              <w:autoSpaceDN w:val="0"/>
              <w:spacing w:before="1" w:line="270" w:lineRule="atLeast"/>
              <w:ind w:left="196" w:right="3"/>
              <w:rPr>
                <w:rFonts w:eastAsia="Arial"/>
                <w:lang w:eastAsia="en-GB" w:bidi="en-GB"/>
              </w:rPr>
            </w:pPr>
            <w:r w:rsidRPr="009827C2">
              <w:rPr>
                <w:rFonts w:eastAsia="Arial"/>
                <w:color w:val="221F1F"/>
                <w:lang w:eastAsia="en-GB" w:bidi="en-GB"/>
              </w:rPr>
              <w:t xml:space="preserve">Determination of action where the contractor exceeds the maximum number of </w:t>
            </w:r>
            <w:proofErr w:type="gramStart"/>
            <w:r w:rsidRPr="009827C2">
              <w:rPr>
                <w:rFonts w:eastAsia="Arial"/>
                <w:color w:val="221F1F"/>
                <w:lang w:eastAsia="en-GB" w:bidi="en-GB"/>
              </w:rPr>
              <w:t>appliance</w:t>
            </w:r>
            <w:proofErr w:type="gramEnd"/>
            <w:r w:rsidRPr="009827C2">
              <w:rPr>
                <w:rFonts w:eastAsia="Arial"/>
                <w:color w:val="221F1F"/>
                <w:lang w:eastAsia="en-GB" w:bidi="en-GB"/>
              </w:rPr>
              <w:t xml:space="preserve"> use reviews that may be done in any one year</w:t>
            </w:r>
          </w:p>
        </w:tc>
        <w:tc>
          <w:tcPr>
            <w:tcW w:w="1984" w:type="dxa"/>
          </w:tcPr>
          <w:p w14:paraId="276B51DB" w14:textId="77777777" w:rsidR="002B7254" w:rsidRPr="009827C2" w:rsidRDefault="002B7254" w:rsidP="004F4BBD">
            <w:pPr>
              <w:widowControl w:val="0"/>
              <w:autoSpaceDE w:val="0"/>
              <w:autoSpaceDN w:val="0"/>
              <w:spacing w:before="1"/>
              <w:ind w:left="157"/>
              <w:rPr>
                <w:rFonts w:eastAsia="Arial"/>
                <w:lang w:eastAsia="en-GB" w:bidi="en-GB"/>
              </w:rPr>
            </w:pPr>
            <w:r w:rsidRPr="009827C2">
              <w:rPr>
                <w:rFonts w:eastAsia="Arial"/>
                <w:color w:val="221F1F"/>
                <w:lang w:eastAsia="en-GB" w:bidi="en-GB"/>
              </w:rPr>
              <w:t>Officer</w:t>
            </w:r>
          </w:p>
        </w:tc>
      </w:tr>
    </w:tbl>
    <w:p w14:paraId="634FC263" w14:textId="77777777" w:rsidR="002B7254" w:rsidRPr="009827C2" w:rsidRDefault="002B7254" w:rsidP="00E06F93">
      <w:pPr>
        <w:spacing w:after="200" w:line="276" w:lineRule="auto"/>
      </w:pPr>
    </w:p>
    <w:sectPr w:rsidR="002B7254" w:rsidRPr="009827C2" w:rsidSect="00521F0D">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958A" w14:textId="77777777" w:rsidR="00E95B52" w:rsidRDefault="00E95B52" w:rsidP="00491684">
      <w:r>
        <w:separator/>
      </w:r>
    </w:p>
  </w:endnote>
  <w:endnote w:type="continuationSeparator" w:id="0">
    <w:p w14:paraId="50E0FA4F" w14:textId="77777777" w:rsidR="00E95B52" w:rsidRDefault="00E95B52"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33596"/>
      <w:docPartObj>
        <w:docPartGallery w:val="Page Numbers (Bottom of Page)"/>
        <w:docPartUnique/>
      </w:docPartObj>
    </w:sdtPr>
    <w:sdtEndPr>
      <w:rPr>
        <w:noProof/>
      </w:rPr>
    </w:sdtEndPr>
    <w:sdtContent>
      <w:p w14:paraId="4B5A5982" w14:textId="77777777" w:rsidR="0080678A" w:rsidRDefault="00BF383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FC91C38" w14:textId="77777777" w:rsidR="0080678A" w:rsidRDefault="00EC1E79" w:rsidP="0080678A">
        <w:pPr>
          <w:pStyle w:val="Footer"/>
          <w:jc w:val="center"/>
          <w:rPr>
            <w:noProof/>
          </w:rPr>
        </w:pPr>
      </w:p>
    </w:sdtContent>
  </w:sdt>
  <w:p w14:paraId="28D6D520" w14:textId="4B3F3A9A" w:rsidR="00BF383B" w:rsidRDefault="00733E15">
    <w:pPr>
      <w:pStyle w:val="Footer"/>
    </w:pPr>
    <w:r>
      <w:rPr>
        <w:sz w:val="18"/>
        <w:szCs w:val="18"/>
      </w:rPr>
      <w:t xml:space="preserve">PSRC </w:t>
    </w:r>
    <w:r w:rsidR="00A836C1">
      <w:rPr>
        <w:sz w:val="18"/>
        <w:szCs w:val="18"/>
      </w:rPr>
      <w:t>Subcommittee</w:t>
    </w:r>
    <w:r>
      <w:rPr>
        <w:sz w:val="18"/>
        <w:szCs w:val="18"/>
      </w:rPr>
      <w:t xml:space="preserve"> </w:t>
    </w:r>
    <w:r w:rsidR="0080678A" w:rsidRPr="0080678A">
      <w:rPr>
        <w:sz w:val="18"/>
        <w:szCs w:val="18"/>
      </w:rPr>
      <w:t>Terms of Refer</w:t>
    </w:r>
    <w:r w:rsidR="0080678A" w:rsidRPr="00CF5476">
      <w:rPr>
        <w:sz w:val="18"/>
        <w:szCs w:val="18"/>
      </w:rPr>
      <w:t xml:space="preserve">ence </w:t>
    </w:r>
    <w:r>
      <w:rPr>
        <w:sz w:val="18"/>
        <w:szCs w:val="18"/>
      </w:rPr>
      <w:t>V</w:t>
    </w:r>
    <w:r w:rsidR="00B44B8B">
      <w:rPr>
        <w:sz w:val="18"/>
        <w:szCs w:val="18"/>
      </w:rPr>
      <w:t>2</w:t>
    </w:r>
    <w:r w:rsidR="00222F0D">
      <w:rPr>
        <w:sz w:val="18"/>
        <w:szCs w:val="18"/>
      </w:rPr>
      <w:t xml:space="preserve"> </w:t>
    </w:r>
    <w:r w:rsidR="00E15E3C">
      <w:rPr>
        <w:sz w:val="18"/>
        <w:szCs w:val="18"/>
      </w:rPr>
      <w:t>1.8.2024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B736" w14:textId="77777777" w:rsidR="00E95B52" w:rsidRDefault="00E95B52" w:rsidP="00491684">
      <w:r>
        <w:separator/>
      </w:r>
    </w:p>
  </w:footnote>
  <w:footnote w:type="continuationSeparator" w:id="0">
    <w:p w14:paraId="5483DC96" w14:textId="77777777" w:rsidR="00E95B52" w:rsidRDefault="00E95B52" w:rsidP="0049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B29"/>
    <w:multiLevelType w:val="hybridMultilevel"/>
    <w:tmpl w:val="17F683CC"/>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 w15:restartNumberingAfterBreak="0">
    <w:nsid w:val="0ADE0BEB"/>
    <w:multiLevelType w:val="hybridMultilevel"/>
    <w:tmpl w:val="EAD69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13DB6992"/>
    <w:multiLevelType w:val="hybridMultilevel"/>
    <w:tmpl w:val="BA828EEA"/>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4"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322A97"/>
    <w:multiLevelType w:val="hybridMultilevel"/>
    <w:tmpl w:val="460A3F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201208"/>
    <w:multiLevelType w:val="hybridMultilevel"/>
    <w:tmpl w:val="E3E0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97EB1"/>
    <w:multiLevelType w:val="hybridMultilevel"/>
    <w:tmpl w:val="65500DA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45F8B"/>
    <w:multiLevelType w:val="hybridMultilevel"/>
    <w:tmpl w:val="29341B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B7D2A"/>
    <w:multiLevelType w:val="hybridMultilevel"/>
    <w:tmpl w:val="1CAEAA94"/>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2" w15:restartNumberingAfterBreak="0">
    <w:nsid w:val="2A5075E9"/>
    <w:multiLevelType w:val="hybridMultilevel"/>
    <w:tmpl w:val="8FC291B0"/>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A08F2"/>
    <w:multiLevelType w:val="hybridMultilevel"/>
    <w:tmpl w:val="CBA8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253CE2"/>
    <w:multiLevelType w:val="hybridMultilevel"/>
    <w:tmpl w:val="EFBED27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F6D7D"/>
    <w:multiLevelType w:val="hybridMultilevel"/>
    <w:tmpl w:val="A3CEA8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B0502"/>
    <w:multiLevelType w:val="hybridMultilevel"/>
    <w:tmpl w:val="BD28400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22" w15:restartNumberingAfterBreak="0">
    <w:nsid w:val="4D3D6BCE"/>
    <w:multiLevelType w:val="hybridMultilevel"/>
    <w:tmpl w:val="CCCA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55461FEE"/>
    <w:multiLevelType w:val="hybridMultilevel"/>
    <w:tmpl w:val="37845146"/>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6" w15:restartNumberingAfterBreak="0">
    <w:nsid w:val="5F71437D"/>
    <w:multiLevelType w:val="hybridMultilevel"/>
    <w:tmpl w:val="C88AF4AE"/>
    <w:lvl w:ilvl="0" w:tplc="08090013">
      <w:start w:val="1"/>
      <w:numFmt w:val="upperRoman"/>
      <w:lvlText w:val="%1."/>
      <w:lvlJc w:val="right"/>
      <w:pPr>
        <w:ind w:left="1655" w:hanging="360"/>
      </w:pPr>
      <w:rPr>
        <w:rFonts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27"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2564E0F"/>
    <w:multiLevelType w:val="hybridMultilevel"/>
    <w:tmpl w:val="922E9A5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567011"/>
    <w:multiLevelType w:val="hybridMultilevel"/>
    <w:tmpl w:val="297A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0514E4"/>
    <w:multiLevelType w:val="hybridMultilevel"/>
    <w:tmpl w:val="273212EA"/>
    <w:lvl w:ilvl="0" w:tplc="E816537A">
      <w:numFmt w:val="bullet"/>
      <w:lvlText w:val=""/>
      <w:lvlJc w:val="left"/>
      <w:pPr>
        <w:ind w:left="859" w:hanging="303"/>
      </w:pPr>
      <w:rPr>
        <w:rFonts w:ascii="Symbol" w:eastAsia="Symbol" w:hAnsi="Symbol" w:cs="Symbol" w:hint="default"/>
        <w:color w:val="1C6CB4"/>
        <w:w w:val="100"/>
        <w:sz w:val="24"/>
        <w:szCs w:val="24"/>
        <w:lang w:val="en-GB" w:eastAsia="en-GB" w:bidi="en-GB"/>
      </w:rPr>
    </w:lvl>
    <w:lvl w:ilvl="1" w:tplc="04F0E17A">
      <w:numFmt w:val="bullet"/>
      <w:lvlText w:val="•"/>
      <w:lvlJc w:val="left"/>
      <w:pPr>
        <w:ind w:left="1395" w:hanging="303"/>
      </w:pPr>
      <w:rPr>
        <w:rFonts w:hint="default"/>
        <w:lang w:val="en-GB" w:eastAsia="en-GB" w:bidi="en-GB"/>
      </w:rPr>
    </w:lvl>
    <w:lvl w:ilvl="2" w:tplc="BA026A30">
      <w:numFmt w:val="bullet"/>
      <w:lvlText w:val="•"/>
      <w:lvlJc w:val="left"/>
      <w:pPr>
        <w:ind w:left="1931" w:hanging="303"/>
      </w:pPr>
      <w:rPr>
        <w:rFonts w:hint="default"/>
        <w:lang w:val="en-GB" w:eastAsia="en-GB" w:bidi="en-GB"/>
      </w:rPr>
    </w:lvl>
    <w:lvl w:ilvl="3" w:tplc="21924448">
      <w:numFmt w:val="bullet"/>
      <w:lvlText w:val="•"/>
      <w:lvlJc w:val="left"/>
      <w:pPr>
        <w:ind w:left="2466" w:hanging="303"/>
      </w:pPr>
      <w:rPr>
        <w:rFonts w:hint="default"/>
        <w:lang w:val="en-GB" w:eastAsia="en-GB" w:bidi="en-GB"/>
      </w:rPr>
    </w:lvl>
    <w:lvl w:ilvl="4" w:tplc="F2E28DBA">
      <w:numFmt w:val="bullet"/>
      <w:lvlText w:val="•"/>
      <w:lvlJc w:val="left"/>
      <w:pPr>
        <w:ind w:left="3002" w:hanging="303"/>
      </w:pPr>
      <w:rPr>
        <w:rFonts w:hint="default"/>
        <w:lang w:val="en-GB" w:eastAsia="en-GB" w:bidi="en-GB"/>
      </w:rPr>
    </w:lvl>
    <w:lvl w:ilvl="5" w:tplc="82E4F554">
      <w:numFmt w:val="bullet"/>
      <w:lvlText w:val="•"/>
      <w:lvlJc w:val="left"/>
      <w:pPr>
        <w:ind w:left="3538" w:hanging="303"/>
      </w:pPr>
      <w:rPr>
        <w:rFonts w:hint="default"/>
        <w:lang w:val="en-GB" w:eastAsia="en-GB" w:bidi="en-GB"/>
      </w:rPr>
    </w:lvl>
    <w:lvl w:ilvl="6" w:tplc="42BA3E96">
      <w:numFmt w:val="bullet"/>
      <w:lvlText w:val="•"/>
      <w:lvlJc w:val="left"/>
      <w:pPr>
        <w:ind w:left="4073" w:hanging="303"/>
      </w:pPr>
      <w:rPr>
        <w:rFonts w:hint="default"/>
        <w:lang w:val="en-GB" w:eastAsia="en-GB" w:bidi="en-GB"/>
      </w:rPr>
    </w:lvl>
    <w:lvl w:ilvl="7" w:tplc="8DE4D714">
      <w:numFmt w:val="bullet"/>
      <w:lvlText w:val="•"/>
      <w:lvlJc w:val="left"/>
      <w:pPr>
        <w:ind w:left="4609" w:hanging="303"/>
      </w:pPr>
      <w:rPr>
        <w:rFonts w:hint="default"/>
        <w:lang w:val="en-GB" w:eastAsia="en-GB" w:bidi="en-GB"/>
      </w:rPr>
    </w:lvl>
    <w:lvl w:ilvl="8" w:tplc="B734EA02">
      <w:numFmt w:val="bullet"/>
      <w:lvlText w:val="•"/>
      <w:lvlJc w:val="left"/>
      <w:pPr>
        <w:ind w:left="5144" w:hanging="303"/>
      </w:pPr>
      <w:rPr>
        <w:rFonts w:hint="default"/>
        <w:lang w:val="en-GB" w:eastAsia="en-GB" w:bidi="en-GB"/>
      </w:rPr>
    </w:lvl>
  </w:abstractNum>
  <w:abstractNum w:abstractNumId="31" w15:restartNumberingAfterBreak="0">
    <w:nsid w:val="69110053"/>
    <w:multiLevelType w:val="hybridMultilevel"/>
    <w:tmpl w:val="38FC63B6"/>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A3F69"/>
    <w:multiLevelType w:val="hybridMultilevel"/>
    <w:tmpl w:val="DFA6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7252F2"/>
    <w:multiLevelType w:val="hybridMultilevel"/>
    <w:tmpl w:val="A6A48BC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344740"/>
    <w:multiLevelType w:val="hybridMultilevel"/>
    <w:tmpl w:val="2090A482"/>
    <w:lvl w:ilvl="0" w:tplc="C128B75C">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8772CF"/>
    <w:multiLevelType w:val="hybridMultilevel"/>
    <w:tmpl w:val="79646C6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D06C4C"/>
    <w:multiLevelType w:val="multilevel"/>
    <w:tmpl w:val="626AF4BE"/>
    <w:lvl w:ilvl="0">
      <w:start w:val="1"/>
      <w:numFmt w:val="decimal"/>
      <w:lvlText w:val="%1."/>
      <w:lvlJc w:val="left"/>
      <w:pPr>
        <w:ind w:left="360" w:hanging="360"/>
      </w:pPr>
      <w:rPr>
        <w:rFonts w:hint="default"/>
      </w:rPr>
    </w:lvl>
    <w:lvl w:ilvl="1">
      <w:start w:val="1"/>
      <w:numFmt w:val="decimal"/>
      <w:isLgl/>
      <w:lvlText w:val="%1.%2"/>
      <w:lvlJc w:val="left"/>
      <w:pPr>
        <w:ind w:left="820" w:hanging="72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960" w:hanging="2160"/>
      </w:pPr>
      <w:rPr>
        <w:rFonts w:hint="default"/>
        <w:b w:val="0"/>
      </w:rPr>
    </w:lvl>
  </w:abstractNum>
  <w:num w:numId="1" w16cid:durableId="2095544235">
    <w:abstractNumId w:val="15"/>
  </w:num>
  <w:num w:numId="2" w16cid:durableId="785588469">
    <w:abstractNumId w:val="23"/>
  </w:num>
  <w:num w:numId="3" w16cid:durableId="1652447507">
    <w:abstractNumId w:val="34"/>
  </w:num>
  <w:num w:numId="4" w16cid:durableId="782724693">
    <w:abstractNumId w:val="19"/>
  </w:num>
  <w:num w:numId="5" w16cid:durableId="2029986043">
    <w:abstractNumId w:val="35"/>
  </w:num>
  <w:num w:numId="6" w16cid:durableId="1615022015">
    <w:abstractNumId w:val="18"/>
  </w:num>
  <w:num w:numId="7" w16cid:durableId="401757183">
    <w:abstractNumId w:val="20"/>
  </w:num>
  <w:num w:numId="8" w16cid:durableId="1645239076">
    <w:abstractNumId w:val="10"/>
  </w:num>
  <w:num w:numId="9" w16cid:durableId="1452437004">
    <w:abstractNumId w:val="17"/>
  </w:num>
  <w:num w:numId="10" w16cid:durableId="1397044591">
    <w:abstractNumId w:val="28"/>
  </w:num>
  <w:num w:numId="11" w16cid:durableId="898712631">
    <w:abstractNumId w:val="25"/>
  </w:num>
  <w:num w:numId="12" w16cid:durableId="1021853863">
    <w:abstractNumId w:val="31"/>
  </w:num>
  <w:num w:numId="13" w16cid:durableId="438138316">
    <w:abstractNumId w:val="3"/>
  </w:num>
  <w:num w:numId="14" w16cid:durableId="1294866750">
    <w:abstractNumId w:val="9"/>
  </w:num>
  <w:num w:numId="15" w16cid:durableId="1205943266">
    <w:abstractNumId w:val="33"/>
  </w:num>
  <w:num w:numId="16" w16cid:durableId="1625497345">
    <w:abstractNumId w:val="36"/>
  </w:num>
  <w:num w:numId="17" w16cid:durableId="771902717">
    <w:abstractNumId w:val="37"/>
  </w:num>
  <w:num w:numId="18" w16cid:durableId="674769433">
    <w:abstractNumId w:val="32"/>
  </w:num>
  <w:num w:numId="19" w16cid:durableId="1739749260">
    <w:abstractNumId w:val="24"/>
  </w:num>
  <w:num w:numId="20" w16cid:durableId="179124134">
    <w:abstractNumId w:val="21"/>
  </w:num>
  <w:num w:numId="21" w16cid:durableId="1218397927">
    <w:abstractNumId w:val="27"/>
  </w:num>
  <w:num w:numId="22" w16cid:durableId="1451238728">
    <w:abstractNumId w:val="2"/>
  </w:num>
  <w:num w:numId="23" w16cid:durableId="1627656307">
    <w:abstractNumId w:val="16"/>
  </w:num>
  <w:num w:numId="24" w16cid:durableId="915624493">
    <w:abstractNumId w:val="14"/>
  </w:num>
  <w:num w:numId="25" w16cid:durableId="400762022">
    <w:abstractNumId w:val="6"/>
  </w:num>
  <w:num w:numId="26" w16cid:durableId="135034608">
    <w:abstractNumId w:val="4"/>
  </w:num>
  <w:num w:numId="27" w16cid:durableId="1627157444">
    <w:abstractNumId w:val="5"/>
  </w:num>
  <w:num w:numId="28" w16cid:durableId="1363819146">
    <w:abstractNumId w:val="29"/>
  </w:num>
  <w:num w:numId="29" w16cid:durableId="349844877">
    <w:abstractNumId w:val="0"/>
  </w:num>
  <w:num w:numId="30" w16cid:durableId="163474935">
    <w:abstractNumId w:val="26"/>
  </w:num>
  <w:num w:numId="31" w16cid:durableId="1119181324">
    <w:abstractNumId w:val="11"/>
  </w:num>
  <w:num w:numId="32" w16cid:durableId="2059475391">
    <w:abstractNumId w:val="29"/>
  </w:num>
  <w:num w:numId="33" w16cid:durableId="55134453">
    <w:abstractNumId w:val="7"/>
  </w:num>
  <w:num w:numId="34" w16cid:durableId="1471554842">
    <w:abstractNumId w:val="1"/>
  </w:num>
  <w:num w:numId="35" w16cid:durableId="1562981995">
    <w:abstractNumId w:val="12"/>
  </w:num>
  <w:num w:numId="36" w16cid:durableId="854222815">
    <w:abstractNumId w:val="22"/>
  </w:num>
  <w:num w:numId="37" w16cid:durableId="1817840468">
    <w:abstractNumId w:val="8"/>
  </w:num>
  <w:num w:numId="38" w16cid:durableId="1432318684">
    <w:abstractNumId w:val="13"/>
  </w:num>
  <w:num w:numId="39" w16cid:durableId="246891537">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7285"/>
    <w:rsid w:val="00007637"/>
    <w:rsid w:val="00020645"/>
    <w:rsid w:val="00041B94"/>
    <w:rsid w:val="00041E32"/>
    <w:rsid w:val="00056487"/>
    <w:rsid w:val="00066210"/>
    <w:rsid w:val="00071E75"/>
    <w:rsid w:val="00082EFD"/>
    <w:rsid w:val="0008465A"/>
    <w:rsid w:val="000915E2"/>
    <w:rsid w:val="00097144"/>
    <w:rsid w:val="000A602F"/>
    <w:rsid w:val="000B37E0"/>
    <w:rsid w:val="000B6B96"/>
    <w:rsid w:val="000E6CC0"/>
    <w:rsid w:val="000F03CB"/>
    <w:rsid w:val="000F5594"/>
    <w:rsid w:val="00113CAF"/>
    <w:rsid w:val="00125410"/>
    <w:rsid w:val="00130173"/>
    <w:rsid w:val="0014207E"/>
    <w:rsid w:val="00157F40"/>
    <w:rsid w:val="00162879"/>
    <w:rsid w:val="001716F1"/>
    <w:rsid w:val="00171A35"/>
    <w:rsid w:val="001A0644"/>
    <w:rsid w:val="001A1645"/>
    <w:rsid w:val="001A533C"/>
    <w:rsid w:val="001B41B3"/>
    <w:rsid w:val="001C6ADB"/>
    <w:rsid w:val="001D5800"/>
    <w:rsid w:val="001E1A4E"/>
    <w:rsid w:val="001F00DC"/>
    <w:rsid w:val="001F77C6"/>
    <w:rsid w:val="0021377B"/>
    <w:rsid w:val="0022019F"/>
    <w:rsid w:val="00222862"/>
    <w:rsid w:val="00222F0D"/>
    <w:rsid w:val="00253BF1"/>
    <w:rsid w:val="00265374"/>
    <w:rsid w:val="002713F0"/>
    <w:rsid w:val="00274EAB"/>
    <w:rsid w:val="002829CF"/>
    <w:rsid w:val="00284338"/>
    <w:rsid w:val="00294288"/>
    <w:rsid w:val="002B16A4"/>
    <w:rsid w:val="002B4C3F"/>
    <w:rsid w:val="002B6956"/>
    <w:rsid w:val="002B6C9E"/>
    <w:rsid w:val="002B7254"/>
    <w:rsid w:val="002C5128"/>
    <w:rsid w:val="002D034F"/>
    <w:rsid w:val="002D41AF"/>
    <w:rsid w:val="002E3234"/>
    <w:rsid w:val="002F43CA"/>
    <w:rsid w:val="002F6FAB"/>
    <w:rsid w:val="002F71D9"/>
    <w:rsid w:val="00306758"/>
    <w:rsid w:val="00315FC0"/>
    <w:rsid w:val="003221C3"/>
    <w:rsid w:val="0032522A"/>
    <w:rsid w:val="00332996"/>
    <w:rsid w:val="00357BF2"/>
    <w:rsid w:val="00365989"/>
    <w:rsid w:val="0037011A"/>
    <w:rsid w:val="00375353"/>
    <w:rsid w:val="0037660A"/>
    <w:rsid w:val="00382AFE"/>
    <w:rsid w:val="0038449B"/>
    <w:rsid w:val="00386F26"/>
    <w:rsid w:val="00391C87"/>
    <w:rsid w:val="00397C7C"/>
    <w:rsid w:val="003B683D"/>
    <w:rsid w:val="003C64FF"/>
    <w:rsid w:val="003D7B5C"/>
    <w:rsid w:val="003E2FAB"/>
    <w:rsid w:val="003E314F"/>
    <w:rsid w:val="003F1635"/>
    <w:rsid w:val="003F28C8"/>
    <w:rsid w:val="00406312"/>
    <w:rsid w:val="004173AE"/>
    <w:rsid w:val="00422BBB"/>
    <w:rsid w:val="00423EB3"/>
    <w:rsid w:val="0043152A"/>
    <w:rsid w:val="00431B9F"/>
    <w:rsid w:val="00435038"/>
    <w:rsid w:val="00442418"/>
    <w:rsid w:val="00456213"/>
    <w:rsid w:val="004627E5"/>
    <w:rsid w:val="004630AD"/>
    <w:rsid w:val="004834BE"/>
    <w:rsid w:val="00491684"/>
    <w:rsid w:val="00496ED6"/>
    <w:rsid w:val="004B4920"/>
    <w:rsid w:val="004E333F"/>
    <w:rsid w:val="004F51B7"/>
    <w:rsid w:val="00510576"/>
    <w:rsid w:val="00521F0D"/>
    <w:rsid w:val="00526451"/>
    <w:rsid w:val="00527B11"/>
    <w:rsid w:val="00532F6E"/>
    <w:rsid w:val="00545855"/>
    <w:rsid w:val="00550E31"/>
    <w:rsid w:val="00554274"/>
    <w:rsid w:val="005611BE"/>
    <w:rsid w:val="00561206"/>
    <w:rsid w:val="00571BCF"/>
    <w:rsid w:val="0057355A"/>
    <w:rsid w:val="00581251"/>
    <w:rsid w:val="005837B3"/>
    <w:rsid w:val="00592C45"/>
    <w:rsid w:val="005967CB"/>
    <w:rsid w:val="005A3F7B"/>
    <w:rsid w:val="005A4D43"/>
    <w:rsid w:val="005E2FB6"/>
    <w:rsid w:val="005E3370"/>
    <w:rsid w:val="006035A2"/>
    <w:rsid w:val="006060A9"/>
    <w:rsid w:val="0061070A"/>
    <w:rsid w:val="0063168D"/>
    <w:rsid w:val="006322F4"/>
    <w:rsid w:val="00650E47"/>
    <w:rsid w:val="00656B7B"/>
    <w:rsid w:val="00662337"/>
    <w:rsid w:val="0067588A"/>
    <w:rsid w:val="00683649"/>
    <w:rsid w:val="00687A84"/>
    <w:rsid w:val="00692F33"/>
    <w:rsid w:val="00693E5E"/>
    <w:rsid w:val="006945FD"/>
    <w:rsid w:val="006A02E1"/>
    <w:rsid w:val="006A243D"/>
    <w:rsid w:val="006B3C63"/>
    <w:rsid w:val="006B54A7"/>
    <w:rsid w:val="006B5AE8"/>
    <w:rsid w:val="006C4F64"/>
    <w:rsid w:val="006D2833"/>
    <w:rsid w:val="006E21D3"/>
    <w:rsid w:val="006E2F3B"/>
    <w:rsid w:val="006E6630"/>
    <w:rsid w:val="00707AC3"/>
    <w:rsid w:val="00710AA5"/>
    <w:rsid w:val="007119DE"/>
    <w:rsid w:val="00724EC9"/>
    <w:rsid w:val="00726A19"/>
    <w:rsid w:val="00733E15"/>
    <w:rsid w:val="007471D3"/>
    <w:rsid w:val="007478B2"/>
    <w:rsid w:val="00747F2E"/>
    <w:rsid w:val="00764DED"/>
    <w:rsid w:val="00765B57"/>
    <w:rsid w:val="00770C4C"/>
    <w:rsid w:val="007809C8"/>
    <w:rsid w:val="0078355E"/>
    <w:rsid w:val="00783C8B"/>
    <w:rsid w:val="00787260"/>
    <w:rsid w:val="00797F90"/>
    <w:rsid w:val="007B7FF5"/>
    <w:rsid w:val="007D32A2"/>
    <w:rsid w:val="007D6FEB"/>
    <w:rsid w:val="007E6B9A"/>
    <w:rsid w:val="007F0CB8"/>
    <w:rsid w:val="007F3856"/>
    <w:rsid w:val="00802A94"/>
    <w:rsid w:val="0080678A"/>
    <w:rsid w:val="00820DD2"/>
    <w:rsid w:val="00825589"/>
    <w:rsid w:val="00832DB4"/>
    <w:rsid w:val="00833FAA"/>
    <w:rsid w:val="008907D4"/>
    <w:rsid w:val="008916FB"/>
    <w:rsid w:val="008A162F"/>
    <w:rsid w:val="008A1631"/>
    <w:rsid w:val="008A3F8C"/>
    <w:rsid w:val="008A441A"/>
    <w:rsid w:val="008A5697"/>
    <w:rsid w:val="008B230C"/>
    <w:rsid w:val="008B53AC"/>
    <w:rsid w:val="008B6BC2"/>
    <w:rsid w:val="008B74FC"/>
    <w:rsid w:val="008C05C2"/>
    <w:rsid w:val="008C08AC"/>
    <w:rsid w:val="008D51DA"/>
    <w:rsid w:val="00901F33"/>
    <w:rsid w:val="00923EA0"/>
    <w:rsid w:val="00925714"/>
    <w:rsid w:val="0093061C"/>
    <w:rsid w:val="0093635E"/>
    <w:rsid w:val="00940D15"/>
    <w:rsid w:val="00951CBC"/>
    <w:rsid w:val="00955103"/>
    <w:rsid w:val="00965359"/>
    <w:rsid w:val="00974932"/>
    <w:rsid w:val="00975C58"/>
    <w:rsid w:val="009827C2"/>
    <w:rsid w:val="009841C6"/>
    <w:rsid w:val="009A7BF7"/>
    <w:rsid w:val="009A7C87"/>
    <w:rsid w:val="009B08D0"/>
    <w:rsid w:val="009C6F84"/>
    <w:rsid w:val="009D094C"/>
    <w:rsid w:val="009D6026"/>
    <w:rsid w:val="009D6F7B"/>
    <w:rsid w:val="009D7E88"/>
    <w:rsid w:val="009E2C07"/>
    <w:rsid w:val="009E3323"/>
    <w:rsid w:val="009E5AED"/>
    <w:rsid w:val="009E68BC"/>
    <w:rsid w:val="009E7A2B"/>
    <w:rsid w:val="009F58C7"/>
    <w:rsid w:val="009F6441"/>
    <w:rsid w:val="00A0118D"/>
    <w:rsid w:val="00A02883"/>
    <w:rsid w:val="00A0305A"/>
    <w:rsid w:val="00A1121D"/>
    <w:rsid w:val="00A118D5"/>
    <w:rsid w:val="00A1702B"/>
    <w:rsid w:val="00A21E22"/>
    <w:rsid w:val="00A434AC"/>
    <w:rsid w:val="00A448B1"/>
    <w:rsid w:val="00A50014"/>
    <w:rsid w:val="00A53395"/>
    <w:rsid w:val="00A73D41"/>
    <w:rsid w:val="00A767A7"/>
    <w:rsid w:val="00A76DB5"/>
    <w:rsid w:val="00A836C1"/>
    <w:rsid w:val="00A83773"/>
    <w:rsid w:val="00A85E0A"/>
    <w:rsid w:val="00A903EF"/>
    <w:rsid w:val="00AA4454"/>
    <w:rsid w:val="00AB09A6"/>
    <w:rsid w:val="00AB5E26"/>
    <w:rsid w:val="00AC3F47"/>
    <w:rsid w:val="00AC49C0"/>
    <w:rsid w:val="00AC5A19"/>
    <w:rsid w:val="00AE1880"/>
    <w:rsid w:val="00AE3DFD"/>
    <w:rsid w:val="00AF6167"/>
    <w:rsid w:val="00AF7C7F"/>
    <w:rsid w:val="00B02954"/>
    <w:rsid w:val="00B247D4"/>
    <w:rsid w:val="00B404F2"/>
    <w:rsid w:val="00B408DB"/>
    <w:rsid w:val="00B42983"/>
    <w:rsid w:val="00B44B8B"/>
    <w:rsid w:val="00B53C74"/>
    <w:rsid w:val="00B64F26"/>
    <w:rsid w:val="00B64F32"/>
    <w:rsid w:val="00B77019"/>
    <w:rsid w:val="00B84B8D"/>
    <w:rsid w:val="00B9776B"/>
    <w:rsid w:val="00B97D64"/>
    <w:rsid w:val="00BB0B13"/>
    <w:rsid w:val="00BB2027"/>
    <w:rsid w:val="00BB387E"/>
    <w:rsid w:val="00BC694F"/>
    <w:rsid w:val="00BD0597"/>
    <w:rsid w:val="00BE2E07"/>
    <w:rsid w:val="00BE3CFE"/>
    <w:rsid w:val="00BE4604"/>
    <w:rsid w:val="00BE4793"/>
    <w:rsid w:val="00BF1E4C"/>
    <w:rsid w:val="00BF383B"/>
    <w:rsid w:val="00C014AE"/>
    <w:rsid w:val="00C01CF0"/>
    <w:rsid w:val="00C03C7A"/>
    <w:rsid w:val="00C05647"/>
    <w:rsid w:val="00C43E88"/>
    <w:rsid w:val="00C5066A"/>
    <w:rsid w:val="00C555B2"/>
    <w:rsid w:val="00C63443"/>
    <w:rsid w:val="00C66321"/>
    <w:rsid w:val="00C70E9F"/>
    <w:rsid w:val="00C77A6D"/>
    <w:rsid w:val="00C90F73"/>
    <w:rsid w:val="00C935BD"/>
    <w:rsid w:val="00CA4B32"/>
    <w:rsid w:val="00CB3BDB"/>
    <w:rsid w:val="00CB4710"/>
    <w:rsid w:val="00CB5E4E"/>
    <w:rsid w:val="00CC0342"/>
    <w:rsid w:val="00CC761C"/>
    <w:rsid w:val="00CD33E6"/>
    <w:rsid w:val="00CD73DE"/>
    <w:rsid w:val="00CE4BDE"/>
    <w:rsid w:val="00CF5476"/>
    <w:rsid w:val="00CF6ABA"/>
    <w:rsid w:val="00D03042"/>
    <w:rsid w:val="00D10D17"/>
    <w:rsid w:val="00D1748F"/>
    <w:rsid w:val="00D23B29"/>
    <w:rsid w:val="00D374D3"/>
    <w:rsid w:val="00D37FD3"/>
    <w:rsid w:val="00D416C0"/>
    <w:rsid w:val="00D450F2"/>
    <w:rsid w:val="00D45254"/>
    <w:rsid w:val="00D56504"/>
    <w:rsid w:val="00D5682E"/>
    <w:rsid w:val="00D56A09"/>
    <w:rsid w:val="00D60A04"/>
    <w:rsid w:val="00D67EE2"/>
    <w:rsid w:val="00D71AE1"/>
    <w:rsid w:val="00D97F8B"/>
    <w:rsid w:val="00DB291D"/>
    <w:rsid w:val="00DC6CD3"/>
    <w:rsid w:val="00DD0477"/>
    <w:rsid w:val="00DD21C4"/>
    <w:rsid w:val="00DD4BDA"/>
    <w:rsid w:val="00E06F93"/>
    <w:rsid w:val="00E12D6C"/>
    <w:rsid w:val="00E15E3C"/>
    <w:rsid w:val="00E16EFF"/>
    <w:rsid w:val="00E2708E"/>
    <w:rsid w:val="00E27D25"/>
    <w:rsid w:val="00E32B59"/>
    <w:rsid w:val="00E4457B"/>
    <w:rsid w:val="00E51A2A"/>
    <w:rsid w:val="00E5298B"/>
    <w:rsid w:val="00E62C72"/>
    <w:rsid w:val="00E62CA1"/>
    <w:rsid w:val="00E6383F"/>
    <w:rsid w:val="00E655E4"/>
    <w:rsid w:val="00E65D81"/>
    <w:rsid w:val="00E678A9"/>
    <w:rsid w:val="00E772D3"/>
    <w:rsid w:val="00E77F1D"/>
    <w:rsid w:val="00E85A3E"/>
    <w:rsid w:val="00E95A3C"/>
    <w:rsid w:val="00E95B52"/>
    <w:rsid w:val="00EA0AE7"/>
    <w:rsid w:val="00EC1E79"/>
    <w:rsid w:val="00EC6B97"/>
    <w:rsid w:val="00ED3F9B"/>
    <w:rsid w:val="00EE2D6B"/>
    <w:rsid w:val="00EF21E4"/>
    <w:rsid w:val="00EF3E9A"/>
    <w:rsid w:val="00F03CF7"/>
    <w:rsid w:val="00F1067C"/>
    <w:rsid w:val="00F130E6"/>
    <w:rsid w:val="00F15E6B"/>
    <w:rsid w:val="00F238B2"/>
    <w:rsid w:val="00F25F05"/>
    <w:rsid w:val="00F30074"/>
    <w:rsid w:val="00F30E47"/>
    <w:rsid w:val="00F36056"/>
    <w:rsid w:val="00F47A87"/>
    <w:rsid w:val="00F630B5"/>
    <w:rsid w:val="00F719E5"/>
    <w:rsid w:val="00F8043A"/>
    <w:rsid w:val="00F814DF"/>
    <w:rsid w:val="00F83E55"/>
    <w:rsid w:val="00F901B8"/>
    <w:rsid w:val="00F94EA1"/>
    <w:rsid w:val="00F95A50"/>
    <w:rsid w:val="00FA5861"/>
    <w:rsid w:val="00FC5A24"/>
    <w:rsid w:val="00FF3934"/>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7ED5"/>
  <w15:docId w15:val="{138D0896-CA13-4255-A028-2D87CF21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306758"/>
    <w:pPr>
      <w:keepNext/>
      <w:keepLines/>
      <w:spacing w:before="480"/>
      <w:outlineLvl w:val="0"/>
    </w:pPr>
    <w:rPr>
      <w:rFonts w:eastAsiaTheme="majorEastAsia" w:cstheme="majorBidi"/>
      <w:b/>
      <w:bCs/>
      <w:sz w:val="28"/>
      <w:szCs w:val="28"/>
    </w:rPr>
  </w:style>
  <w:style w:type="paragraph" w:styleId="Heading2">
    <w:name w:val="heading 2"/>
    <w:aliases w:val="Heading 10"/>
    <w:basedOn w:val="Normal"/>
    <w:next w:val="Normal"/>
    <w:link w:val="Heading2Char"/>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5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306758"/>
    <w:rPr>
      <w:rFonts w:ascii="Arial" w:eastAsiaTheme="majorEastAsia" w:hAnsi="Arial" w:cstheme="majorBidi"/>
      <w:b/>
      <w:bCs/>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spacing w:before="120"/>
      <w:ind w:left="240"/>
    </w:pPr>
    <w:rPr>
      <w:rFonts w:asciiTheme="minorHAnsi" w:hAnsiTheme="minorHAnsi" w:cstheme="minorHAnsi"/>
      <w:i/>
      <w:iCs/>
      <w:sz w:val="20"/>
      <w:szCs w:val="20"/>
    </w:r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F1067C"/>
    <w:pPr>
      <w:spacing w:before="240" w:after="120"/>
    </w:pPr>
    <w:rPr>
      <w:rFonts w:asciiTheme="minorHAnsi" w:hAnsiTheme="minorHAnsi" w:cstheme="minorHAnsi"/>
      <w:b/>
      <w:bCs/>
      <w:sz w:val="20"/>
      <w:szCs w:val="20"/>
    </w:r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numbering" w:customStyle="1" w:styleId="NoList1">
    <w:name w:val="No List1"/>
    <w:next w:val="NoList"/>
    <w:uiPriority w:val="99"/>
    <w:semiHidden/>
    <w:unhideWhenUsed/>
    <w:rsid w:val="00A53395"/>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ind w:left="720"/>
    </w:pPr>
    <w:rPr>
      <w:rFonts w:asciiTheme="minorHAnsi" w:hAnsiTheme="minorHAnsi" w:cstheme="minorHAnsi"/>
      <w:sz w:val="20"/>
      <w:szCs w:val="20"/>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numbering" w:customStyle="1" w:styleId="NoList11">
    <w:name w:val="No List11"/>
    <w:next w:val="NoList"/>
    <w:uiPriority w:val="99"/>
    <w:semiHidden/>
    <w:unhideWhenUsed/>
    <w:rsid w:val="00A53395"/>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F238B2"/>
    <w:pPr>
      <w:ind w:left="480"/>
    </w:pPr>
    <w:rPr>
      <w:rFonts w:asciiTheme="minorHAnsi" w:hAnsiTheme="minorHAnsi" w:cstheme="minorHAnsi"/>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E4604"/>
    <w:rPr>
      <w:color w:val="605E5C"/>
      <w:shd w:val="clear" w:color="auto" w:fill="E1DFDD"/>
    </w:rPr>
  </w:style>
  <w:style w:type="paragraph" w:customStyle="1" w:styleId="Indentedparagraph">
    <w:name w:val="Indented paragraph"/>
    <w:basedOn w:val="Normal"/>
    <w:qFormat/>
    <w:rsid w:val="009D094C"/>
    <w:pPr>
      <w:spacing w:before="120" w:after="120"/>
      <w:ind w:left="567"/>
    </w:pPr>
    <w:rPr>
      <w:rFonts w:eastAsia="Calibri" w:cstheme="minorHAnsi"/>
      <w:color w:val="000000" w:themeColor="text1"/>
      <w:sz w:val="22"/>
      <w:szCs w:val="22"/>
      <w:lang w:eastAsia="en-GB"/>
    </w:rPr>
  </w:style>
  <w:style w:type="paragraph" w:customStyle="1" w:styleId="Bullet">
    <w:name w:val="Bullet"/>
    <w:basedOn w:val="Indentedparagraph"/>
    <w:qFormat/>
    <w:rsid w:val="009D094C"/>
    <w:pPr>
      <w:numPr>
        <w:numId w:val="22"/>
      </w:numPr>
      <w:ind w:left="851" w:hanging="284"/>
    </w:pPr>
  </w:style>
  <w:style w:type="paragraph" w:customStyle="1" w:styleId="Heading333">
    <w:name w:val="Heading 3.3.3"/>
    <w:basedOn w:val="Normal"/>
    <w:qFormat/>
    <w:rsid w:val="009D094C"/>
    <w:pPr>
      <w:spacing w:before="240" w:after="120"/>
    </w:pPr>
    <w:rPr>
      <w:rFonts w:eastAsia="Calibri"/>
      <w:b/>
      <w:bCs/>
      <w:color w:val="000000" w:themeColor="text1"/>
      <w:lang w:eastAsia="en-GB"/>
    </w:rPr>
  </w:style>
  <w:style w:type="paragraph" w:customStyle="1" w:styleId="Tablebullet">
    <w:name w:val="Table bullet"/>
    <w:basedOn w:val="ListParagraph"/>
    <w:qFormat/>
    <w:rsid w:val="009D094C"/>
    <w:pPr>
      <w:numPr>
        <w:numId w:val="24"/>
      </w:numPr>
      <w:tabs>
        <w:tab w:val="num" w:pos="360"/>
      </w:tabs>
      <w:spacing w:before="120" w:after="120"/>
      <w:ind w:left="318" w:hanging="283"/>
      <w:contextualSpacing w:val="0"/>
    </w:pPr>
    <w:rPr>
      <w:rFonts w:eastAsia="Calibri"/>
      <w:color w:val="000000" w:themeColor="text1"/>
      <w:sz w:val="22"/>
      <w:szCs w:val="22"/>
      <w:lang w:eastAsia="en-GB"/>
    </w:rPr>
  </w:style>
  <w:style w:type="paragraph" w:customStyle="1" w:styleId="Tableparagraph0">
    <w:name w:val="Table paragraph"/>
    <w:basedOn w:val="Normal"/>
    <w:qFormat/>
    <w:rsid w:val="009D094C"/>
    <w:pPr>
      <w:spacing w:before="120" w:after="120"/>
    </w:pPr>
    <w:rPr>
      <w:rFonts w:eastAsia="Calibri"/>
      <w:color w:val="000000" w:themeColor="text1"/>
      <w:sz w:val="22"/>
      <w:szCs w:val="22"/>
      <w:lang w:eastAsia="en-GB"/>
    </w:rPr>
  </w:style>
  <w:style w:type="paragraph" w:customStyle="1" w:styleId="Tablepara">
    <w:name w:val="Table para"/>
    <w:basedOn w:val="Normal"/>
    <w:qFormat/>
    <w:rsid w:val="009D094C"/>
    <w:pPr>
      <w:spacing w:before="120" w:after="120"/>
    </w:pPr>
    <w:rPr>
      <w:rFonts w:eastAsia="Calibri"/>
      <w:color w:val="000000" w:themeColor="text1"/>
      <w:sz w:val="22"/>
      <w:szCs w:val="22"/>
      <w:lang w:eastAsia="en-GB"/>
    </w:rPr>
  </w:style>
  <w:style w:type="table" w:customStyle="1" w:styleId="TableGrid5">
    <w:name w:val="Table Grid5"/>
    <w:basedOn w:val="TableNormal"/>
    <w:next w:val="TableGrid"/>
    <w:uiPriority w:val="39"/>
    <w:rsid w:val="009E2C0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A73D41"/>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73D41"/>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73D41"/>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73D41"/>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73D41"/>
    <w:pPr>
      <w:ind w:left="1920"/>
    </w:pPr>
    <w:rPr>
      <w:rFonts w:asciiTheme="minorHAnsi" w:hAnsiTheme="minorHAnsi" w:cstheme="minorHAnsi"/>
      <w:sz w:val="20"/>
      <w:szCs w:val="20"/>
    </w:rPr>
  </w:style>
  <w:style w:type="paragraph" w:styleId="Revision">
    <w:name w:val="Revision"/>
    <w:hidden/>
    <w:uiPriority w:val="99"/>
    <w:semiHidden/>
    <w:rsid w:val="00832DB4"/>
    <w:pPr>
      <w:spacing w:after="0" w:line="240" w:lineRule="auto"/>
    </w:pPr>
    <w:rPr>
      <w:rFonts w:ascii="Arial" w:hAnsi="Arial" w:cs="Arial"/>
      <w:sz w:val="24"/>
      <w:szCs w:val="24"/>
    </w:rPr>
  </w:style>
  <w:style w:type="character" w:customStyle="1" w:styleId="ui-provider">
    <w:name w:val="ui-provider"/>
    <w:basedOn w:val="DefaultParagraphFont"/>
    <w:rsid w:val="00462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91581">
      <w:bodyDiv w:val="1"/>
      <w:marLeft w:val="0"/>
      <w:marRight w:val="0"/>
      <w:marTop w:val="0"/>
      <w:marBottom w:val="0"/>
      <w:divBdr>
        <w:top w:val="none" w:sz="0" w:space="0" w:color="auto"/>
        <w:left w:val="none" w:sz="0" w:space="0" w:color="auto"/>
        <w:bottom w:val="none" w:sz="0" w:space="0" w:color="auto"/>
        <w:right w:val="none" w:sz="0" w:space="0" w:color="auto"/>
      </w:divBdr>
    </w:div>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225720778">
      <w:bodyDiv w:val="1"/>
      <w:marLeft w:val="0"/>
      <w:marRight w:val="0"/>
      <w:marTop w:val="0"/>
      <w:marBottom w:val="0"/>
      <w:divBdr>
        <w:top w:val="none" w:sz="0" w:space="0" w:color="auto"/>
        <w:left w:val="none" w:sz="0" w:space="0" w:color="auto"/>
        <w:bottom w:val="none" w:sz="0" w:space="0" w:color="auto"/>
        <w:right w:val="none" w:sz="0" w:space="0" w:color="auto"/>
      </w:divBdr>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 w:id="19328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ortheastnorthcumbria.nhs.uk/about-us/corporate-information/govern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ortheastnorthcumbria.nhs.uk/about-us/corporate-information/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46FAC92EBC5CE42BBAEC3F675C18317" ma:contentTypeVersion="0" ma:contentTypeDescription="Create a new document." ma:contentTypeScope="" ma:versionID="ccd70072f6cc5409732adb2879cf2c6e">
  <xsd:schema xmlns:xsd="http://www.w3.org/2001/XMLSchema" xmlns:xs="http://www.w3.org/2001/XMLSchema" xmlns:p="http://schemas.microsoft.com/office/2006/metadata/properties" xmlns:ns2="65f02511-e93c-461f-9019-cd992a25a150" targetNamespace="http://schemas.microsoft.com/office/2006/metadata/properties" ma:root="true" ma:fieldsID="607edf7f8d5df58292c600dff1829fc7" ns2:_="">
    <xsd:import namespace="65f02511-e93c-461f-9019-cd992a25a1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2511-e93c-461f-9019-cd992a25a1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5f02511-e93c-461f-9019-cd992a25a150">NECS-146905827-208</_dlc_DocId>
    <_dlc_DocIdUrl xmlns="65f02511-e93c-461f-9019-cd992a25a150">
      <Url>https://collab.necsu.nhs.uk/work/gov/_layouts/15/DocIdRedir.aspx?ID=NECS-146905827-208</Url>
      <Description>NECS-146905827-208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74323B-8A02-48FD-A248-ED9B9B0D4EEA}">
  <ds:schemaRefs>
    <ds:schemaRef ds:uri="http://schemas.microsoft.com/sharepoint/events"/>
  </ds:schemaRefs>
</ds:datastoreItem>
</file>

<file path=customXml/itemProps2.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customXml/itemProps3.xml><?xml version="1.0" encoding="utf-8"?>
<ds:datastoreItem xmlns:ds="http://schemas.openxmlformats.org/officeDocument/2006/customXml" ds:itemID="{75746DEA-6645-42C2-84DD-7A8C9307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2511-e93c-461f-9019-cd992a25a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7CD0A0-5968-44DF-820D-D4D2687BE591}">
  <ds:schemaRefs>
    <ds:schemaRef ds:uri="http://schemas.microsoft.com/office/2006/metadata/properties"/>
    <ds:schemaRef ds:uri="http://schemas.microsoft.com/office/infopath/2007/PartnerControls"/>
    <ds:schemaRef ds:uri="65f02511-e93c-461f-9019-cd992a25a150"/>
  </ds:schemaRefs>
</ds:datastoreItem>
</file>

<file path=customXml/itemProps5.xml><?xml version="1.0" encoding="utf-8"?>
<ds:datastoreItem xmlns:ds="http://schemas.openxmlformats.org/officeDocument/2006/customXml" ds:itemID="{919B59D7-0F60-496F-878B-BC1527CCF3CE}">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4545</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30392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BURDIS, Ruby (NHS NORTH EAST AND NORTH CUMBRIA ICB - 00P)</cp:lastModifiedBy>
  <cp:revision>3</cp:revision>
  <cp:lastPrinted>2025-05-08T12:07:00Z</cp:lastPrinted>
  <dcterms:created xsi:type="dcterms:W3CDTF">2025-05-08T12:07:00Z</dcterms:created>
  <dcterms:modified xsi:type="dcterms:W3CDTF">2025-05-08T12:08:00Z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0x010100B46FAC92EBC5CE42BBAEC3F675C18317</vt:lpwstr>
  </property>
  <property fmtid="{D5CDD505-2E9C-101B-9397-08002B2CF9AE}" pid="3" name="_dlc_DocIdItemGuid">
    <vt:lpwstr>47764060-0856-4e50-b48c-ed73bbb74e47</vt:lpwstr>
  </property>
</Properties>
</file>