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A059" w14:textId="77777777" w:rsidR="00E91B42" w:rsidRDefault="00E91B42" w:rsidP="00E91B42">
      <w:pPr>
        <w:jc w:val="center"/>
        <w:rPr>
          <w:b/>
          <w:bCs/>
          <w:sz w:val="36"/>
          <w:szCs w:val="36"/>
        </w:rPr>
      </w:pPr>
      <w:r>
        <w:rPr>
          <w:noProof/>
        </w:rPr>
        <w:drawing>
          <wp:anchor distT="0" distB="0" distL="114300" distR="114300" simplePos="0" relativeHeight="251659264" behindDoc="1" locked="0" layoutInCell="1" allowOverlap="1" wp14:anchorId="62CF5781" wp14:editId="475CCBF3">
            <wp:simplePos x="0" y="0"/>
            <wp:positionH relativeFrom="margin">
              <wp:align>right</wp:align>
            </wp:positionH>
            <wp:positionV relativeFrom="paragraph">
              <wp:posOffset>11575</wp:posOffset>
            </wp:positionV>
            <wp:extent cx="1709420" cy="1029140"/>
            <wp:effectExtent l="0" t="0" r="508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9420" cy="1029140"/>
                    </a:xfrm>
                    <a:prstGeom prst="rect">
                      <a:avLst/>
                    </a:prstGeom>
                  </pic:spPr>
                </pic:pic>
              </a:graphicData>
            </a:graphic>
            <wp14:sizeRelH relativeFrom="page">
              <wp14:pctWidth>0</wp14:pctWidth>
            </wp14:sizeRelH>
            <wp14:sizeRelV relativeFrom="page">
              <wp14:pctHeight>0</wp14:pctHeight>
            </wp14:sizeRelV>
          </wp:anchor>
        </w:drawing>
      </w:r>
    </w:p>
    <w:p w14:paraId="293278A2" w14:textId="77777777" w:rsidR="00E91B42" w:rsidRDefault="00E91B42" w:rsidP="00E91B42">
      <w:pPr>
        <w:jc w:val="center"/>
        <w:rPr>
          <w:b/>
          <w:bCs/>
          <w:sz w:val="36"/>
          <w:szCs w:val="36"/>
        </w:rPr>
      </w:pPr>
    </w:p>
    <w:p w14:paraId="104AB3E6" w14:textId="77777777" w:rsidR="00E91B42" w:rsidRDefault="00E91B42" w:rsidP="00E91B42">
      <w:pPr>
        <w:jc w:val="center"/>
        <w:rPr>
          <w:b/>
          <w:bCs/>
          <w:sz w:val="36"/>
          <w:szCs w:val="36"/>
        </w:rPr>
      </w:pPr>
    </w:p>
    <w:p w14:paraId="1CE43840" w14:textId="77777777" w:rsidR="00E91B42" w:rsidRDefault="00E91B42" w:rsidP="00E91B42">
      <w:pPr>
        <w:jc w:val="center"/>
        <w:rPr>
          <w:b/>
          <w:bCs/>
          <w:sz w:val="36"/>
          <w:szCs w:val="36"/>
        </w:rPr>
      </w:pPr>
    </w:p>
    <w:p w14:paraId="7A4EC3D7" w14:textId="77777777" w:rsidR="00E91B42" w:rsidRDefault="00E91B42" w:rsidP="00E91B42">
      <w:pPr>
        <w:jc w:val="center"/>
        <w:rPr>
          <w:b/>
          <w:bCs/>
          <w:sz w:val="36"/>
          <w:szCs w:val="36"/>
        </w:rPr>
      </w:pPr>
    </w:p>
    <w:p w14:paraId="3ABC1215" w14:textId="77777777" w:rsidR="00E91B42" w:rsidRDefault="00E91B42" w:rsidP="00E91B42">
      <w:pPr>
        <w:jc w:val="center"/>
        <w:rPr>
          <w:b/>
          <w:bCs/>
          <w:sz w:val="36"/>
          <w:szCs w:val="36"/>
        </w:rPr>
      </w:pPr>
    </w:p>
    <w:p w14:paraId="5C0E7696" w14:textId="77777777" w:rsidR="00E91B42" w:rsidRDefault="00E91B42" w:rsidP="00E91B42">
      <w:pPr>
        <w:jc w:val="center"/>
        <w:rPr>
          <w:b/>
          <w:bCs/>
          <w:sz w:val="36"/>
          <w:szCs w:val="36"/>
        </w:rPr>
      </w:pPr>
    </w:p>
    <w:p w14:paraId="31E832DB" w14:textId="77777777" w:rsidR="00E91B42" w:rsidRDefault="00E91B42" w:rsidP="00E91B42">
      <w:pPr>
        <w:jc w:val="center"/>
        <w:rPr>
          <w:b/>
          <w:bCs/>
          <w:sz w:val="36"/>
          <w:szCs w:val="36"/>
        </w:rPr>
      </w:pPr>
    </w:p>
    <w:p w14:paraId="33F3D7A6" w14:textId="77777777" w:rsidR="00E91B42" w:rsidRDefault="00E91B42" w:rsidP="00E91B42">
      <w:pPr>
        <w:jc w:val="center"/>
        <w:rPr>
          <w:b/>
          <w:bCs/>
          <w:sz w:val="36"/>
          <w:szCs w:val="36"/>
        </w:rPr>
      </w:pPr>
    </w:p>
    <w:p w14:paraId="2CA4B7D9" w14:textId="77777777" w:rsidR="00E91B42" w:rsidRDefault="00E91B42" w:rsidP="00E91B42">
      <w:pPr>
        <w:jc w:val="center"/>
        <w:rPr>
          <w:b/>
          <w:bCs/>
          <w:sz w:val="36"/>
          <w:szCs w:val="36"/>
        </w:rPr>
      </w:pPr>
    </w:p>
    <w:p w14:paraId="462DD0AE" w14:textId="77777777" w:rsidR="00E91B42" w:rsidRDefault="00E91B42" w:rsidP="00E91B42">
      <w:pPr>
        <w:jc w:val="center"/>
        <w:rPr>
          <w:b/>
          <w:bCs/>
          <w:sz w:val="36"/>
          <w:szCs w:val="36"/>
        </w:rPr>
      </w:pPr>
      <w:proofErr w:type="gramStart"/>
      <w:r>
        <w:rPr>
          <w:b/>
          <w:bCs/>
          <w:sz w:val="36"/>
          <w:szCs w:val="36"/>
        </w:rPr>
        <w:t>North East</w:t>
      </w:r>
      <w:proofErr w:type="gramEnd"/>
      <w:r>
        <w:rPr>
          <w:b/>
          <w:bCs/>
          <w:sz w:val="36"/>
          <w:szCs w:val="36"/>
        </w:rPr>
        <w:t xml:space="preserve"> and North Cumbria Integrated Care Board </w:t>
      </w:r>
    </w:p>
    <w:p w14:paraId="66AB7CAC" w14:textId="77777777" w:rsidR="00E91B42" w:rsidRDefault="00E91B42" w:rsidP="00E91B42">
      <w:pPr>
        <w:jc w:val="center"/>
        <w:rPr>
          <w:b/>
          <w:bCs/>
          <w:sz w:val="36"/>
          <w:szCs w:val="36"/>
        </w:rPr>
      </w:pPr>
    </w:p>
    <w:p w14:paraId="5BDACE0A" w14:textId="77777777" w:rsidR="00E91B42" w:rsidRDefault="00E91B42" w:rsidP="00E91B42">
      <w:pPr>
        <w:jc w:val="center"/>
        <w:rPr>
          <w:b/>
          <w:bCs/>
          <w:sz w:val="36"/>
          <w:szCs w:val="36"/>
        </w:rPr>
      </w:pPr>
    </w:p>
    <w:p w14:paraId="741F43A0" w14:textId="77777777" w:rsidR="00E91B42" w:rsidRDefault="00E91B42" w:rsidP="00E91B42">
      <w:pPr>
        <w:jc w:val="center"/>
        <w:rPr>
          <w:b/>
          <w:bCs/>
          <w:sz w:val="36"/>
          <w:szCs w:val="36"/>
        </w:rPr>
      </w:pPr>
    </w:p>
    <w:p w14:paraId="6E7243D6" w14:textId="77777777" w:rsidR="00E91B42" w:rsidRDefault="00E91B42" w:rsidP="00E91B42">
      <w:pPr>
        <w:jc w:val="center"/>
        <w:rPr>
          <w:b/>
          <w:bCs/>
          <w:sz w:val="36"/>
          <w:szCs w:val="36"/>
        </w:rPr>
      </w:pPr>
      <w:r>
        <w:rPr>
          <w:b/>
          <w:bCs/>
          <w:sz w:val="36"/>
          <w:szCs w:val="36"/>
        </w:rPr>
        <w:t>Primary Care</w:t>
      </w:r>
      <w:r w:rsidRPr="00571BCF">
        <w:rPr>
          <w:b/>
          <w:bCs/>
          <w:sz w:val="36"/>
          <w:szCs w:val="36"/>
        </w:rPr>
        <w:t xml:space="preserve"> Subcommittee</w:t>
      </w:r>
    </w:p>
    <w:p w14:paraId="30A16C8B" w14:textId="77777777" w:rsidR="00E91B42" w:rsidRDefault="00E91B42" w:rsidP="00E91B42">
      <w:pPr>
        <w:jc w:val="center"/>
        <w:rPr>
          <w:b/>
          <w:bCs/>
          <w:sz w:val="36"/>
          <w:szCs w:val="36"/>
        </w:rPr>
      </w:pPr>
    </w:p>
    <w:p w14:paraId="3BCDD774" w14:textId="77777777" w:rsidR="00E91B42" w:rsidRDefault="00E91B42" w:rsidP="00E91B42">
      <w:pPr>
        <w:jc w:val="center"/>
        <w:rPr>
          <w:b/>
          <w:bCs/>
          <w:sz w:val="36"/>
          <w:szCs w:val="36"/>
        </w:rPr>
      </w:pPr>
      <w:r>
        <w:rPr>
          <w:b/>
          <w:bCs/>
          <w:sz w:val="36"/>
          <w:szCs w:val="36"/>
        </w:rPr>
        <w:t xml:space="preserve">Terms of Reference </w:t>
      </w:r>
    </w:p>
    <w:p w14:paraId="5A32ABA5" w14:textId="77777777" w:rsidR="00E91B42" w:rsidRDefault="00E91B42" w:rsidP="003349B8">
      <w:pPr>
        <w:jc w:val="center"/>
        <w:rPr>
          <w:b/>
          <w:bCs/>
          <w:sz w:val="36"/>
          <w:szCs w:val="36"/>
        </w:rPr>
      </w:pPr>
    </w:p>
    <w:p w14:paraId="5E4DCA6D" w14:textId="77777777" w:rsidR="00E91B42" w:rsidRDefault="00E91B42" w:rsidP="003349B8">
      <w:pPr>
        <w:jc w:val="center"/>
        <w:rPr>
          <w:b/>
          <w:bCs/>
          <w:sz w:val="36"/>
          <w:szCs w:val="36"/>
        </w:rPr>
      </w:pPr>
    </w:p>
    <w:p w14:paraId="79F57B33" w14:textId="77777777" w:rsidR="00E91B42" w:rsidRDefault="00E91B42" w:rsidP="003349B8">
      <w:pPr>
        <w:jc w:val="center"/>
        <w:rPr>
          <w:b/>
          <w:bCs/>
          <w:sz w:val="36"/>
          <w:szCs w:val="36"/>
        </w:rPr>
      </w:pPr>
    </w:p>
    <w:p w14:paraId="43EC05EC" w14:textId="77777777" w:rsidR="00E91B42" w:rsidRDefault="00E91B42" w:rsidP="003349B8">
      <w:pPr>
        <w:jc w:val="center"/>
        <w:rPr>
          <w:b/>
          <w:bCs/>
          <w:sz w:val="36"/>
          <w:szCs w:val="36"/>
        </w:rPr>
      </w:pPr>
    </w:p>
    <w:p w14:paraId="73E2D4C9" w14:textId="77777777" w:rsidR="00E91B42" w:rsidRDefault="00E91B42" w:rsidP="003349B8">
      <w:pPr>
        <w:jc w:val="center"/>
        <w:rPr>
          <w:b/>
          <w:bCs/>
          <w:sz w:val="36"/>
          <w:szCs w:val="36"/>
        </w:rPr>
      </w:pPr>
    </w:p>
    <w:p w14:paraId="7EB701BB" w14:textId="77777777" w:rsidR="00E91B42" w:rsidRDefault="00E91B42" w:rsidP="003349B8">
      <w:pPr>
        <w:jc w:val="center"/>
        <w:rPr>
          <w:b/>
          <w:bCs/>
          <w:sz w:val="36"/>
          <w:szCs w:val="36"/>
        </w:rPr>
      </w:pPr>
    </w:p>
    <w:p w14:paraId="67C8AD5B" w14:textId="77777777" w:rsidR="00E91B42" w:rsidRDefault="00E91B42" w:rsidP="003349B8">
      <w:pPr>
        <w:jc w:val="center"/>
        <w:rPr>
          <w:b/>
          <w:bCs/>
          <w:sz w:val="36"/>
          <w:szCs w:val="36"/>
        </w:rPr>
      </w:pPr>
    </w:p>
    <w:p w14:paraId="1A903DF1" w14:textId="77777777" w:rsidR="00E91B42" w:rsidRDefault="00E91B42" w:rsidP="003349B8">
      <w:pPr>
        <w:jc w:val="center"/>
        <w:rPr>
          <w:b/>
          <w:bCs/>
          <w:sz w:val="36"/>
          <w:szCs w:val="36"/>
        </w:rPr>
      </w:pPr>
    </w:p>
    <w:p w14:paraId="1A995C5C" w14:textId="77777777" w:rsidR="00E91B42" w:rsidRDefault="00E91B42" w:rsidP="003349B8">
      <w:pPr>
        <w:jc w:val="center"/>
        <w:rPr>
          <w:b/>
          <w:bCs/>
          <w:sz w:val="36"/>
          <w:szCs w:val="36"/>
        </w:rPr>
      </w:pPr>
    </w:p>
    <w:p w14:paraId="210A370C" w14:textId="77777777" w:rsidR="00E91B42" w:rsidRDefault="00E91B42" w:rsidP="003349B8">
      <w:pPr>
        <w:jc w:val="center"/>
        <w:rPr>
          <w:b/>
          <w:bCs/>
          <w:sz w:val="36"/>
          <w:szCs w:val="36"/>
        </w:rPr>
      </w:pPr>
    </w:p>
    <w:p w14:paraId="1FA55EF8" w14:textId="77777777" w:rsidR="00E91B42" w:rsidRDefault="00E91B42" w:rsidP="003349B8">
      <w:pPr>
        <w:jc w:val="center"/>
        <w:rPr>
          <w:b/>
          <w:bCs/>
          <w:sz w:val="36"/>
          <w:szCs w:val="36"/>
        </w:rPr>
      </w:pPr>
    </w:p>
    <w:p w14:paraId="78AEB724" w14:textId="77777777" w:rsidR="00E91B42" w:rsidRDefault="00E91B42" w:rsidP="003349B8">
      <w:pPr>
        <w:jc w:val="center"/>
        <w:rPr>
          <w:b/>
          <w:bCs/>
          <w:sz w:val="36"/>
          <w:szCs w:val="36"/>
        </w:rPr>
      </w:pPr>
    </w:p>
    <w:p w14:paraId="72F8DCBB" w14:textId="77777777" w:rsidR="00E91B42" w:rsidRDefault="00E91B42" w:rsidP="003349B8">
      <w:pPr>
        <w:jc w:val="center"/>
        <w:rPr>
          <w:b/>
          <w:bCs/>
          <w:sz w:val="36"/>
          <w:szCs w:val="36"/>
        </w:rPr>
      </w:pPr>
    </w:p>
    <w:p w14:paraId="322FABBD" w14:textId="77777777" w:rsidR="00E91B42" w:rsidRDefault="00E91B42" w:rsidP="003349B8">
      <w:pPr>
        <w:jc w:val="center"/>
        <w:rPr>
          <w:b/>
          <w:bCs/>
          <w:sz w:val="36"/>
          <w:szCs w:val="36"/>
        </w:rPr>
      </w:pPr>
    </w:p>
    <w:p w14:paraId="41357719" w14:textId="77777777" w:rsidR="00E91B42" w:rsidRDefault="00E91B42" w:rsidP="003349B8">
      <w:pPr>
        <w:jc w:val="center"/>
        <w:rPr>
          <w:b/>
          <w:bCs/>
          <w:sz w:val="36"/>
          <w:szCs w:val="36"/>
        </w:rPr>
      </w:pPr>
    </w:p>
    <w:p w14:paraId="5AD0BF96" w14:textId="77777777" w:rsidR="00E91B42" w:rsidRDefault="00E91B42" w:rsidP="003349B8">
      <w:pPr>
        <w:jc w:val="center"/>
        <w:rPr>
          <w:b/>
          <w:bCs/>
          <w:sz w:val="36"/>
          <w:szCs w:val="36"/>
        </w:rPr>
      </w:pPr>
    </w:p>
    <w:p w14:paraId="2F58D0A2" w14:textId="77777777" w:rsidR="00E91B42" w:rsidRPr="007846B5" w:rsidRDefault="00E91B42" w:rsidP="003349B8">
      <w:pPr>
        <w:jc w:val="center"/>
        <w:rPr>
          <w:b/>
          <w:bCs/>
          <w:sz w:val="36"/>
          <w:szCs w:val="36"/>
        </w:rPr>
      </w:pPr>
    </w:p>
    <w:p w14:paraId="494C00CE" w14:textId="77777777" w:rsidR="003349B8" w:rsidRPr="007846B5" w:rsidRDefault="003349B8" w:rsidP="003349B8">
      <w:pPr>
        <w:rPr>
          <w:b/>
          <w:bCs/>
        </w:rPr>
      </w:pPr>
    </w:p>
    <w:sdt>
      <w:sdtPr>
        <w:rPr>
          <w:sz w:val="22"/>
          <w:szCs w:val="22"/>
        </w:rPr>
        <w:id w:val="-1245103588"/>
        <w:docPartObj>
          <w:docPartGallery w:val="Table of Contents"/>
          <w:docPartUnique/>
        </w:docPartObj>
      </w:sdtPr>
      <w:sdtEndPr>
        <w:rPr>
          <w:noProof/>
          <w:sz w:val="24"/>
          <w:szCs w:val="24"/>
        </w:rPr>
      </w:sdtEndPr>
      <w:sdtContent>
        <w:p w14:paraId="03C7CA70" w14:textId="77777777" w:rsidR="003349B8" w:rsidRPr="00DA5B29" w:rsidRDefault="003349B8" w:rsidP="003349B8">
          <w:pPr>
            <w:keepNext/>
            <w:keepLines/>
            <w:spacing w:before="480" w:line="276" w:lineRule="auto"/>
            <w:rPr>
              <w:rFonts w:eastAsiaTheme="majorEastAsia"/>
              <w:b/>
              <w:bCs/>
              <w:sz w:val="22"/>
              <w:szCs w:val="22"/>
              <w:lang w:val="en-US" w:eastAsia="ja-JP"/>
            </w:rPr>
          </w:pPr>
          <w:r w:rsidRPr="00983CB0">
            <w:rPr>
              <w:rFonts w:eastAsiaTheme="majorEastAsia"/>
              <w:b/>
              <w:bCs/>
              <w:sz w:val="28"/>
              <w:szCs w:val="28"/>
              <w:lang w:val="en-US" w:eastAsia="ja-JP"/>
            </w:rPr>
            <w:t>Table of</w:t>
          </w:r>
          <w:r w:rsidRPr="00DA5B29">
            <w:rPr>
              <w:rFonts w:eastAsiaTheme="majorEastAsia"/>
              <w:b/>
              <w:bCs/>
              <w:sz w:val="22"/>
              <w:szCs w:val="22"/>
              <w:lang w:val="en-US" w:eastAsia="ja-JP"/>
            </w:rPr>
            <w:t xml:space="preserve"> </w:t>
          </w:r>
          <w:r w:rsidRPr="00983CB0">
            <w:rPr>
              <w:rFonts w:eastAsiaTheme="majorEastAsia"/>
              <w:b/>
              <w:bCs/>
              <w:sz w:val="28"/>
              <w:szCs w:val="28"/>
              <w:lang w:val="en-US" w:eastAsia="ja-JP"/>
            </w:rPr>
            <w:t>Contents</w:t>
          </w:r>
          <w:r w:rsidRPr="00DA5B29">
            <w:rPr>
              <w:b/>
              <w:bCs/>
              <w:caps/>
              <w:sz w:val="22"/>
              <w:szCs w:val="22"/>
            </w:rPr>
            <w:fldChar w:fldCharType="begin"/>
          </w:r>
          <w:r w:rsidRPr="00DA5B29">
            <w:rPr>
              <w:b/>
              <w:bCs/>
              <w:caps/>
              <w:sz w:val="22"/>
              <w:szCs w:val="22"/>
            </w:rPr>
            <w:instrText xml:space="preserve"> TOC \o "1-2" \h \z \u </w:instrText>
          </w:r>
          <w:r w:rsidRPr="00DA5B29">
            <w:rPr>
              <w:b/>
              <w:bCs/>
              <w:caps/>
              <w:sz w:val="22"/>
              <w:szCs w:val="22"/>
            </w:rPr>
            <w:fldChar w:fldCharType="separate"/>
          </w:r>
          <w:hyperlink w:anchor="_Toc129939765" w:history="1"/>
        </w:p>
        <w:p w14:paraId="22ADD7DF" w14:textId="31D0ABF7"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66" w:history="1">
            <w:r w:rsidRPr="00DA5B29">
              <w:rPr>
                <w:rStyle w:val="Hyperlink"/>
                <w:rFonts w:ascii="Arial" w:eastAsiaTheme="majorEastAsia" w:hAnsi="Arial" w:cs="Arial"/>
                <w:noProof/>
                <w:sz w:val="22"/>
                <w:szCs w:val="22"/>
              </w:rPr>
              <w:t>Establishment</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_Toc129939766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3</w:t>
            </w:r>
            <w:r w:rsidRPr="00DA5B29">
              <w:rPr>
                <w:rFonts w:ascii="Arial" w:hAnsi="Arial" w:cs="Arial"/>
                <w:noProof/>
                <w:webHidden/>
                <w:sz w:val="22"/>
                <w:szCs w:val="22"/>
              </w:rPr>
              <w:fldChar w:fldCharType="end"/>
            </w:r>
          </w:hyperlink>
        </w:p>
        <w:p w14:paraId="023F4DCC" w14:textId="63E5A96A"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67" w:history="1">
            <w:r w:rsidRPr="00DA5B29">
              <w:rPr>
                <w:rStyle w:val="Hyperlink"/>
                <w:rFonts w:ascii="Arial" w:eastAsiaTheme="majorEastAsia" w:hAnsi="Arial" w:cs="Arial"/>
                <w:i w:val="0"/>
                <w:iCs w:val="0"/>
                <w:noProof/>
                <w:sz w:val="22"/>
                <w:szCs w:val="22"/>
              </w:rPr>
              <w:t>Terms of reference:</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_Toc129939767 \h </w:instrText>
            </w:r>
            <w:r w:rsidRPr="00DA5B29">
              <w:rPr>
                <w:rFonts w:ascii="Arial" w:hAnsi="Arial" w:cs="Arial"/>
                <w:i w:val="0"/>
                <w:iCs w:val="0"/>
                <w:noProof/>
                <w:webHidden/>
                <w:sz w:val="22"/>
                <w:szCs w:val="22"/>
              </w:rPr>
              <w:fldChar w:fldCharType="separate"/>
            </w:r>
            <w:r w:rsidR="00E003DB">
              <w:rPr>
                <w:rFonts w:ascii="Arial" w:hAnsi="Arial" w:cs="Arial"/>
                <w:b/>
                <w:bCs/>
                <w:i w:val="0"/>
                <w:iCs w:val="0"/>
                <w:noProof/>
                <w:webHidden/>
                <w:sz w:val="22"/>
                <w:szCs w:val="22"/>
                <w:lang w:val="en-US"/>
              </w:rPr>
              <w:t>Error! Bookmark not defined.</w:t>
            </w:r>
            <w:r w:rsidRPr="00DA5B29">
              <w:rPr>
                <w:rFonts w:ascii="Arial" w:hAnsi="Arial" w:cs="Arial"/>
                <w:i w:val="0"/>
                <w:iCs w:val="0"/>
                <w:noProof/>
                <w:webHidden/>
                <w:sz w:val="22"/>
                <w:szCs w:val="22"/>
              </w:rPr>
              <w:fldChar w:fldCharType="end"/>
            </w:r>
          </w:hyperlink>
        </w:p>
        <w:p w14:paraId="51983F09" w14:textId="52010605"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68" w:history="1">
            <w:r w:rsidRPr="00DA5B29">
              <w:rPr>
                <w:rStyle w:val="Hyperlink"/>
                <w:rFonts w:ascii="Arial" w:eastAsiaTheme="majorEastAsia" w:hAnsi="Arial" w:cs="Arial"/>
                <w:i w:val="0"/>
                <w:iCs w:val="0"/>
                <w:noProof/>
                <w:sz w:val="22"/>
                <w:szCs w:val="22"/>
              </w:rPr>
              <w:t>Purpose</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_Toc129939768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3</w:t>
            </w:r>
            <w:r w:rsidRPr="00DA5B29">
              <w:rPr>
                <w:rFonts w:ascii="Arial" w:hAnsi="Arial" w:cs="Arial"/>
                <w:i w:val="0"/>
                <w:iCs w:val="0"/>
                <w:noProof/>
                <w:webHidden/>
                <w:sz w:val="22"/>
                <w:szCs w:val="22"/>
              </w:rPr>
              <w:fldChar w:fldCharType="end"/>
            </w:r>
          </w:hyperlink>
        </w:p>
        <w:p w14:paraId="58B71164" w14:textId="15EADCF6"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69" w:history="1">
            <w:r w:rsidRPr="00DA5B29">
              <w:rPr>
                <w:rStyle w:val="Hyperlink"/>
                <w:rFonts w:ascii="Arial" w:eastAsiaTheme="majorEastAsia" w:hAnsi="Arial" w:cs="Arial"/>
                <w:noProof/>
                <w:sz w:val="22"/>
                <w:szCs w:val="22"/>
              </w:rPr>
              <w:t>Roles and responsibilities</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_Toc129939769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3</w:t>
            </w:r>
            <w:r w:rsidRPr="00DA5B29">
              <w:rPr>
                <w:rFonts w:ascii="Arial" w:hAnsi="Arial" w:cs="Arial"/>
                <w:noProof/>
                <w:webHidden/>
                <w:sz w:val="22"/>
                <w:szCs w:val="22"/>
              </w:rPr>
              <w:fldChar w:fldCharType="end"/>
            </w:r>
          </w:hyperlink>
        </w:p>
        <w:p w14:paraId="02230100" w14:textId="1458C80B"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0" w:history="1">
            <w:r w:rsidRPr="00DA5B29">
              <w:rPr>
                <w:rStyle w:val="Hyperlink"/>
                <w:rFonts w:ascii="Arial" w:eastAsiaTheme="majorEastAsia" w:hAnsi="Arial" w:cs="Arial"/>
                <w:i w:val="0"/>
                <w:iCs w:val="0"/>
                <w:noProof/>
                <w:sz w:val="22"/>
                <w:szCs w:val="22"/>
              </w:rPr>
              <w:t>Duties</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_Toc129939770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3</w:t>
            </w:r>
            <w:r w:rsidRPr="00DA5B29">
              <w:rPr>
                <w:rFonts w:ascii="Arial" w:hAnsi="Arial" w:cs="Arial"/>
                <w:i w:val="0"/>
                <w:iCs w:val="0"/>
                <w:noProof/>
                <w:webHidden/>
                <w:sz w:val="22"/>
                <w:szCs w:val="22"/>
              </w:rPr>
              <w:fldChar w:fldCharType="end"/>
            </w:r>
          </w:hyperlink>
        </w:p>
        <w:p w14:paraId="13E9FE0C" w14:textId="4D3058E8"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1" w:history="1">
            <w:r w:rsidRPr="00DA5B29">
              <w:rPr>
                <w:rStyle w:val="Hyperlink"/>
                <w:rFonts w:ascii="Arial" w:eastAsiaTheme="majorEastAsia" w:hAnsi="Arial" w:cs="Arial"/>
                <w:i w:val="0"/>
                <w:iCs w:val="0"/>
                <w:noProof/>
                <w:sz w:val="22"/>
                <w:szCs w:val="22"/>
              </w:rPr>
              <w:t>Authority</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_Toc129939771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6</w:t>
            </w:r>
            <w:r w:rsidRPr="00DA5B29">
              <w:rPr>
                <w:rFonts w:ascii="Arial" w:hAnsi="Arial" w:cs="Arial"/>
                <w:i w:val="0"/>
                <w:iCs w:val="0"/>
                <w:noProof/>
                <w:webHidden/>
                <w:sz w:val="22"/>
                <w:szCs w:val="22"/>
              </w:rPr>
              <w:fldChar w:fldCharType="end"/>
            </w:r>
          </w:hyperlink>
        </w:p>
        <w:p w14:paraId="12C3C9D0" w14:textId="7FF5BDFC"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2" w:history="1">
            <w:r w:rsidRPr="00DA5B29">
              <w:rPr>
                <w:rStyle w:val="Hyperlink"/>
                <w:rFonts w:ascii="Arial" w:eastAsiaTheme="majorEastAsia" w:hAnsi="Arial" w:cs="Arial"/>
                <w:i w:val="0"/>
                <w:iCs w:val="0"/>
                <w:noProof/>
                <w:sz w:val="22"/>
                <w:szCs w:val="22"/>
              </w:rPr>
              <w:t>Delegation by Scheme of Reservation &amp; Delegation (SoRD)</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_Toc129939772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6</w:t>
            </w:r>
            <w:r w:rsidRPr="00DA5B29">
              <w:rPr>
                <w:rFonts w:ascii="Arial" w:hAnsi="Arial" w:cs="Arial"/>
                <w:i w:val="0"/>
                <w:iCs w:val="0"/>
                <w:noProof/>
                <w:webHidden/>
                <w:sz w:val="22"/>
                <w:szCs w:val="22"/>
              </w:rPr>
              <w:fldChar w:fldCharType="end"/>
            </w:r>
          </w:hyperlink>
        </w:p>
        <w:p w14:paraId="7C21E48F" w14:textId="6A327416"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3" w:history="1">
            <w:r w:rsidRPr="00DA5B29">
              <w:rPr>
                <w:rStyle w:val="Hyperlink"/>
                <w:rFonts w:ascii="Arial" w:eastAsiaTheme="majorEastAsia" w:hAnsi="Arial" w:cs="Arial"/>
                <w:i w:val="0"/>
                <w:iCs w:val="0"/>
                <w:noProof/>
                <w:sz w:val="22"/>
                <w:szCs w:val="22"/>
              </w:rPr>
              <w:t>Accountability and reporting</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_Toc129939773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8</w:t>
            </w:r>
            <w:r w:rsidRPr="00DA5B29">
              <w:rPr>
                <w:rFonts w:ascii="Arial" w:hAnsi="Arial" w:cs="Arial"/>
                <w:i w:val="0"/>
                <w:iCs w:val="0"/>
                <w:noProof/>
                <w:webHidden/>
                <w:sz w:val="22"/>
                <w:szCs w:val="22"/>
              </w:rPr>
              <w:fldChar w:fldCharType="end"/>
            </w:r>
          </w:hyperlink>
        </w:p>
        <w:p w14:paraId="3B4A4466" w14:textId="042AD226"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74" w:history="1">
            <w:r w:rsidRPr="00DA5B29">
              <w:rPr>
                <w:rStyle w:val="Hyperlink"/>
                <w:rFonts w:ascii="Arial" w:eastAsiaTheme="majorEastAsia" w:hAnsi="Arial" w:cs="Arial"/>
                <w:noProof/>
                <w:sz w:val="22"/>
                <w:szCs w:val="22"/>
              </w:rPr>
              <w:t>Committee meetings</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_Toc129939774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8</w:t>
            </w:r>
            <w:r w:rsidRPr="00DA5B29">
              <w:rPr>
                <w:rFonts w:ascii="Arial" w:hAnsi="Arial" w:cs="Arial"/>
                <w:noProof/>
                <w:webHidden/>
                <w:sz w:val="22"/>
                <w:szCs w:val="22"/>
              </w:rPr>
              <w:fldChar w:fldCharType="end"/>
            </w:r>
          </w:hyperlink>
        </w:p>
        <w:p w14:paraId="2B2EE009" w14:textId="3B229DB4"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5" w:history="1">
            <w:r w:rsidRPr="00DA5B29">
              <w:rPr>
                <w:rStyle w:val="Hyperlink"/>
                <w:rFonts w:ascii="Arial" w:eastAsiaTheme="majorEastAsia" w:hAnsi="Arial" w:cs="Arial"/>
                <w:i w:val="0"/>
                <w:iCs w:val="0"/>
                <w:noProof/>
                <w:sz w:val="22"/>
                <w:szCs w:val="22"/>
              </w:rPr>
              <w:t>Composition and quoracy</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_Toc129939775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8</w:t>
            </w:r>
            <w:r w:rsidRPr="00DA5B29">
              <w:rPr>
                <w:rFonts w:ascii="Arial" w:hAnsi="Arial" w:cs="Arial"/>
                <w:i w:val="0"/>
                <w:iCs w:val="0"/>
                <w:noProof/>
                <w:webHidden/>
                <w:sz w:val="22"/>
                <w:szCs w:val="22"/>
              </w:rPr>
              <w:fldChar w:fldCharType="end"/>
            </w:r>
          </w:hyperlink>
        </w:p>
        <w:p w14:paraId="40559116" w14:textId="7D2FC08E"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6" w:history="1">
            <w:r w:rsidRPr="00DA5B29">
              <w:rPr>
                <w:rStyle w:val="Hyperlink"/>
                <w:rFonts w:ascii="Arial" w:eastAsiaTheme="majorEastAsia" w:hAnsi="Arial" w:cs="Arial"/>
                <w:i w:val="0"/>
                <w:iCs w:val="0"/>
                <w:noProof/>
                <w:sz w:val="22"/>
                <w:szCs w:val="22"/>
              </w:rPr>
              <w:t>Frequency and formats</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_Toc129939776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11</w:t>
            </w:r>
            <w:r w:rsidRPr="00DA5B29">
              <w:rPr>
                <w:rFonts w:ascii="Arial" w:hAnsi="Arial" w:cs="Arial"/>
                <w:i w:val="0"/>
                <w:iCs w:val="0"/>
                <w:noProof/>
                <w:webHidden/>
                <w:sz w:val="22"/>
                <w:szCs w:val="22"/>
              </w:rPr>
              <w:fldChar w:fldCharType="end"/>
            </w:r>
          </w:hyperlink>
        </w:p>
        <w:p w14:paraId="2DABCE56" w14:textId="58DF5CB2" w:rsidR="003349B8" w:rsidRPr="00DA5B29" w:rsidRDefault="003349B8" w:rsidP="003349B8">
          <w:pPr>
            <w:pStyle w:val="TOC2"/>
            <w:tabs>
              <w:tab w:val="right" w:leader="dot" w:pos="9016"/>
            </w:tabs>
            <w:rPr>
              <w:rFonts w:ascii="Arial" w:eastAsiaTheme="minorEastAsia" w:hAnsi="Arial" w:cs="Arial"/>
              <w:i w:val="0"/>
              <w:iCs w:val="0"/>
              <w:noProof/>
              <w:sz w:val="22"/>
              <w:szCs w:val="22"/>
              <w:lang w:eastAsia="en-GB"/>
            </w:rPr>
          </w:pPr>
          <w:hyperlink w:anchor="_Toc129939777" w:history="1">
            <w:r w:rsidRPr="00DA5B29">
              <w:rPr>
                <w:rStyle w:val="Hyperlink"/>
                <w:rFonts w:ascii="Arial" w:eastAsiaTheme="majorEastAsia" w:hAnsi="Arial" w:cs="Arial"/>
                <w:i w:val="0"/>
                <w:iCs w:val="0"/>
                <w:noProof/>
                <w:sz w:val="22"/>
                <w:szCs w:val="22"/>
              </w:rPr>
              <w:t>Procedures</w:t>
            </w:r>
            <w:r w:rsidRPr="00DA5B29">
              <w:rPr>
                <w:rFonts w:ascii="Arial" w:hAnsi="Arial" w:cs="Arial"/>
                <w:i w:val="0"/>
                <w:iCs w:val="0"/>
                <w:noProof/>
                <w:webHidden/>
                <w:sz w:val="22"/>
                <w:szCs w:val="22"/>
              </w:rPr>
              <w:tab/>
            </w:r>
            <w:r w:rsidRPr="00DA5B29">
              <w:rPr>
                <w:rFonts w:ascii="Arial" w:hAnsi="Arial" w:cs="Arial"/>
                <w:i w:val="0"/>
                <w:iCs w:val="0"/>
                <w:noProof/>
                <w:webHidden/>
                <w:sz w:val="22"/>
                <w:szCs w:val="22"/>
              </w:rPr>
              <w:fldChar w:fldCharType="begin"/>
            </w:r>
            <w:r w:rsidRPr="00DA5B29">
              <w:rPr>
                <w:rFonts w:ascii="Arial" w:hAnsi="Arial" w:cs="Arial"/>
                <w:i w:val="0"/>
                <w:iCs w:val="0"/>
                <w:noProof/>
                <w:webHidden/>
                <w:sz w:val="22"/>
                <w:szCs w:val="22"/>
              </w:rPr>
              <w:instrText xml:space="preserve"> PAGEREF _Toc129939777 \h </w:instrText>
            </w:r>
            <w:r w:rsidRPr="00DA5B29">
              <w:rPr>
                <w:rFonts w:ascii="Arial" w:hAnsi="Arial" w:cs="Arial"/>
                <w:i w:val="0"/>
                <w:iCs w:val="0"/>
                <w:noProof/>
                <w:webHidden/>
                <w:sz w:val="22"/>
                <w:szCs w:val="22"/>
              </w:rPr>
            </w:r>
            <w:r w:rsidRPr="00DA5B29">
              <w:rPr>
                <w:rFonts w:ascii="Arial" w:hAnsi="Arial" w:cs="Arial"/>
                <w:i w:val="0"/>
                <w:iCs w:val="0"/>
                <w:noProof/>
                <w:webHidden/>
                <w:sz w:val="22"/>
                <w:szCs w:val="22"/>
              </w:rPr>
              <w:fldChar w:fldCharType="separate"/>
            </w:r>
            <w:r w:rsidR="00E003DB">
              <w:rPr>
                <w:rFonts w:ascii="Arial" w:hAnsi="Arial" w:cs="Arial"/>
                <w:i w:val="0"/>
                <w:iCs w:val="0"/>
                <w:noProof/>
                <w:webHidden/>
                <w:sz w:val="22"/>
                <w:szCs w:val="22"/>
              </w:rPr>
              <w:t>11</w:t>
            </w:r>
            <w:r w:rsidRPr="00DA5B29">
              <w:rPr>
                <w:rFonts w:ascii="Arial" w:hAnsi="Arial" w:cs="Arial"/>
                <w:i w:val="0"/>
                <w:iCs w:val="0"/>
                <w:noProof/>
                <w:webHidden/>
                <w:sz w:val="22"/>
                <w:szCs w:val="22"/>
              </w:rPr>
              <w:fldChar w:fldCharType="end"/>
            </w:r>
          </w:hyperlink>
        </w:p>
        <w:p w14:paraId="33178ED0" w14:textId="2C73C4F4"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78" w:history="1">
            <w:r w:rsidRPr="00DA5B29">
              <w:rPr>
                <w:rStyle w:val="Hyperlink"/>
                <w:rFonts w:ascii="Arial" w:eastAsiaTheme="majorEastAsia" w:hAnsi="Arial" w:cs="Arial"/>
                <w:noProof/>
                <w:sz w:val="22"/>
                <w:szCs w:val="22"/>
              </w:rPr>
              <w:t>Secretariat and administration</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_Toc129939778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12</w:t>
            </w:r>
            <w:r w:rsidRPr="00DA5B29">
              <w:rPr>
                <w:rFonts w:ascii="Arial" w:hAnsi="Arial" w:cs="Arial"/>
                <w:noProof/>
                <w:webHidden/>
                <w:sz w:val="22"/>
                <w:szCs w:val="22"/>
              </w:rPr>
              <w:fldChar w:fldCharType="end"/>
            </w:r>
          </w:hyperlink>
        </w:p>
        <w:p w14:paraId="29CE85AD" w14:textId="6B2E5473"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79" w:history="1">
            <w:r w:rsidRPr="00DA5B29">
              <w:rPr>
                <w:rStyle w:val="Hyperlink"/>
                <w:rFonts w:ascii="Arial" w:eastAsiaTheme="majorEastAsia" w:hAnsi="Arial" w:cs="Arial"/>
                <w:noProof/>
                <w:sz w:val="22"/>
                <w:szCs w:val="22"/>
              </w:rPr>
              <w:t>Appendix 1: Approval History</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_Toc129939779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12</w:t>
            </w:r>
            <w:r w:rsidRPr="00DA5B29">
              <w:rPr>
                <w:rFonts w:ascii="Arial" w:hAnsi="Arial" w:cs="Arial"/>
                <w:noProof/>
                <w:webHidden/>
                <w:sz w:val="22"/>
                <w:szCs w:val="22"/>
              </w:rPr>
              <w:fldChar w:fldCharType="end"/>
            </w:r>
          </w:hyperlink>
        </w:p>
        <w:p w14:paraId="72EAF597" w14:textId="779925D8" w:rsidR="003349B8" w:rsidRPr="00DA5B29" w:rsidRDefault="003349B8" w:rsidP="003349B8">
          <w:pPr>
            <w:pStyle w:val="TOC1"/>
            <w:tabs>
              <w:tab w:val="right" w:leader="dot" w:pos="9016"/>
            </w:tabs>
            <w:rPr>
              <w:rFonts w:ascii="Arial" w:eastAsiaTheme="minorEastAsia" w:hAnsi="Arial" w:cs="Arial"/>
              <w:b w:val="0"/>
              <w:bCs w:val="0"/>
              <w:noProof/>
              <w:sz w:val="22"/>
              <w:szCs w:val="22"/>
              <w:lang w:eastAsia="en-GB"/>
            </w:rPr>
          </w:pPr>
          <w:hyperlink w:anchor="_Toc129939780" w:history="1">
            <w:r w:rsidRPr="00DA5B29">
              <w:rPr>
                <w:rStyle w:val="Hyperlink"/>
                <w:rFonts w:ascii="Arial" w:eastAsiaTheme="majorEastAsia" w:hAnsi="Arial" w:cs="Arial"/>
                <w:noProof/>
                <w:sz w:val="22"/>
                <w:szCs w:val="22"/>
              </w:rPr>
              <w:t>Appendix 2: Review History</w:t>
            </w:r>
            <w:r w:rsidRPr="00DA5B29">
              <w:rPr>
                <w:rFonts w:ascii="Arial" w:hAnsi="Arial" w:cs="Arial"/>
                <w:noProof/>
                <w:webHidden/>
                <w:sz w:val="22"/>
                <w:szCs w:val="22"/>
              </w:rPr>
              <w:tab/>
            </w:r>
            <w:r w:rsidRPr="00DA5B29">
              <w:rPr>
                <w:rFonts w:ascii="Arial" w:hAnsi="Arial" w:cs="Arial"/>
                <w:noProof/>
                <w:webHidden/>
                <w:sz w:val="22"/>
                <w:szCs w:val="22"/>
              </w:rPr>
              <w:fldChar w:fldCharType="begin"/>
            </w:r>
            <w:r w:rsidRPr="00DA5B29">
              <w:rPr>
                <w:rFonts w:ascii="Arial" w:hAnsi="Arial" w:cs="Arial"/>
                <w:noProof/>
                <w:webHidden/>
                <w:sz w:val="22"/>
                <w:szCs w:val="22"/>
              </w:rPr>
              <w:instrText xml:space="preserve"> PAGEREF _Toc129939780 \h </w:instrText>
            </w:r>
            <w:r w:rsidRPr="00DA5B29">
              <w:rPr>
                <w:rFonts w:ascii="Arial" w:hAnsi="Arial" w:cs="Arial"/>
                <w:noProof/>
                <w:webHidden/>
                <w:sz w:val="22"/>
                <w:szCs w:val="22"/>
              </w:rPr>
            </w:r>
            <w:r w:rsidRPr="00DA5B29">
              <w:rPr>
                <w:rFonts w:ascii="Arial" w:hAnsi="Arial" w:cs="Arial"/>
                <w:noProof/>
                <w:webHidden/>
                <w:sz w:val="22"/>
                <w:szCs w:val="22"/>
              </w:rPr>
              <w:fldChar w:fldCharType="separate"/>
            </w:r>
            <w:r w:rsidR="00E003DB">
              <w:rPr>
                <w:rFonts w:ascii="Arial" w:hAnsi="Arial" w:cs="Arial"/>
                <w:noProof/>
                <w:webHidden/>
                <w:sz w:val="22"/>
                <w:szCs w:val="22"/>
              </w:rPr>
              <w:t>13</w:t>
            </w:r>
            <w:r w:rsidRPr="00DA5B29">
              <w:rPr>
                <w:rFonts w:ascii="Arial" w:hAnsi="Arial" w:cs="Arial"/>
                <w:noProof/>
                <w:webHidden/>
                <w:sz w:val="22"/>
                <w:szCs w:val="22"/>
              </w:rPr>
              <w:fldChar w:fldCharType="end"/>
            </w:r>
          </w:hyperlink>
        </w:p>
        <w:p w14:paraId="3ADCA774" w14:textId="77777777" w:rsidR="003349B8" w:rsidRPr="007846B5" w:rsidRDefault="003349B8" w:rsidP="003349B8">
          <w:r w:rsidRPr="00DA5B29">
            <w:rPr>
              <w:b/>
              <w:bCs/>
              <w:caps/>
              <w:sz w:val="22"/>
              <w:szCs w:val="22"/>
            </w:rPr>
            <w:fldChar w:fldCharType="end"/>
          </w:r>
        </w:p>
      </w:sdtContent>
    </w:sdt>
    <w:p w14:paraId="3E10E1E3" w14:textId="77777777" w:rsidR="003349B8" w:rsidRPr="007846B5" w:rsidRDefault="003349B8" w:rsidP="003349B8"/>
    <w:p w14:paraId="28B685A7" w14:textId="77777777" w:rsidR="003349B8" w:rsidRPr="007846B5" w:rsidRDefault="003349B8" w:rsidP="003349B8">
      <w:pPr>
        <w:rPr>
          <w:b/>
          <w:bCs/>
        </w:rPr>
      </w:pPr>
      <w:r w:rsidRPr="007846B5">
        <w:rPr>
          <w:b/>
          <w:bCs/>
        </w:rPr>
        <w:br w:type="page"/>
      </w:r>
    </w:p>
    <w:p w14:paraId="7D321661" w14:textId="77777777" w:rsidR="003349B8" w:rsidRPr="007846B5" w:rsidRDefault="003349B8" w:rsidP="003349B8">
      <w:pPr>
        <w:widowControl w:val="0"/>
        <w:spacing w:after="120"/>
        <w:ind w:left="567" w:hanging="567"/>
        <w:outlineLvl w:val="0"/>
        <w:rPr>
          <w:rFonts w:eastAsiaTheme="majorEastAsia" w:cstheme="majorBidi"/>
          <w:b/>
          <w:bCs/>
          <w:sz w:val="28"/>
          <w:szCs w:val="28"/>
        </w:rPr>
      </w:pPr>
      <w:bookmarkStart w:id="0" w:name="_Toc129939306"/>
      <w:bookmarkStart w:id="1" w:name="_Toc129939766"/>
      <w:bookmarkStart w:id="2" w:name="_Toc129940147"/>
      <w:bookmarkStart w:id="3" w:name="_Toc131156869"/>
      <w:r w:rsidRPr="007846B5">
        <w:rPr>
          <w:rFonts w:eastAsiaTheme="majorEastAsia" w:cstheme="majorBidi"/>
          <w:b/>
          <w:bCs/>
          <w:sz w:val="28"/>
          <w:szCs w:val="28"/>
        </w:rPr>
        <w:lastRenderedPageBreak/>
        <w:t>Establishment</w:t>
      </w:r>
      <w:bookmarkEnd w:id="0"/>
      <w:bookmarkEnd w:id="1"/>
      <w:bookmarkEnd w:id="2"/>
      <w:bookmarkEnd w:id="3"/>
    </w:p>
    <w:p w14:paraId="7C3F7C80" w14:textId="77777777" w:rsidR="00E91B42" w:rsidRPr="001B06F9" w:rsidRDefault="00E91B42" w:rsidP="00E91B42">
      <w:pPr>
        <w:widowControl w:val="0"/>
        <w:numPr>
          <w:ilvl w:val="1"/>
          <w:numId w:val="0"/>
        </w:numPr>
        <w:spacing w:before="240" w:after="120"/>
        <w:outlineLvl w:val="1"/>
        <w:rPr>
          <w:rFonts w:eastAsia="Calibri"/>
          <w:color w:val="000000" w:themeColor="text1"/>
          <w:sz w:val="22"/>
          <w:szCs w:val="22"/>
          <w:lang w:eastAsia="en-GB"/>
        </w:rPr>
      </w:pPr>
      <w:bookmarkStart w:id="4" w:name="_Toc159234745"/>
      <w:bookmarkStart w:id="5" w:name="_Toc161406319"/>
      <w:bookmarkStart w:id="6" w:name="_Toc129939307"/>
      <w:bookmarkStart w:id="7" w:name="_Toc129939474"/>
      <w:bookmarkStart w:id="8" w:name="_Toc129940148"/>
      <w:bookmarkStart w:id="9" w:name="_Toc131156870"/>
      <w:bookmarkStart w:id="10" w:name="_Toc129939308"/>
      <w:bookmarkStart w:id="11" w:name="_Toc129939475"/>
      <w:bookmarkStart w:id="12" w:name="_Toc129939768"/>
      <w:bookmarkStart w:id="13" w:name="_Toc129940149"/>
      <w:bookmarkStart w:id="14" w:name="_Toc131156871"/>
      <w:r w:rsidRPr="001B06F9">
        <w:rPr>
          <w:rFonts w:eastAsia="Calibri"/>
          <w:color w:val="000000" w:themeColor="text1"/>
          <w:sz w:val="22"/>
          <w:szCs w:val="22"/>
          <w:lang w:eastAsia="en-GB"/>
        </w:rPr>
        <w:t>In accordance with its statutory powers under section 13Z of the National Health Service Act 2006 (as amended), and, the Health and Care Act 2022, NHS England has delegated to ICBs the exercise of the functions specified in the Delegation Agreement.</w:t>
      </w:r>
      <w:bookmarkEnd w:id="4"/>
      <w:bookmarkEnd w:id="5"/>
      <w:r w:rsidRPr="001B06F9">
        <w:rPr>
          <w:rFonts w:eastAsia="Calibri"/>
          <w:color w:val="000000" w:themeColor="text1"/>
          <w:sz w:val="22"/>
          <w:szCs w:val="22"/>
          <w:lang w:eastAsia="en-GB"/>
        </w:rPr>
        <w:t xml:space="preserve"> </w:t>
      </w:r>
    </w:p>
    <w:p w14:paraId="2A9832EA" w14:textId="77777777" w:rsidR="00E91B42" w:rsidRPr="001B06F9" w:rsidRDefault="00E91B42" w:rsidP="00E91B42">
      <w:pPr>
        <w:widowControl w:val="0"/>
        <w:numPr>
          <w:ilvl w:val="1"/>
          <w:numId w:val="0"/>
        </w:numPr>
        <w:spacing w:before="240" w:after="120"/>
        <w:outlineLvl w:val="1"/>
        <w:rPr>
          <w:rFonts w:eastAsia="Calibri"/>
          <w:color w:val="000000" w:themeColor="text1"/>
          <w:sz w:val="22"/>
          <w:szCs w:val="22"/>
          <w:lang w:eastAsia="en-GB"/>
        </w:rPr>
      </w:pPr>
      <w:bookmarkStart w:id="15" w:name="_Toc159234746"/>
      <w:bookmarkStart w:id="16" w:name="_Toc161406320"/>
      <w:r w:rsidRPr="001B06F9">
        <w:rPr>
          <w:rFonts w:eastAsia="Calibri"/>
          <w:color w:val="000000" w:themeColor="text1"/>
          <w:sz w:val="22"/>
          <w:szCs w:val="22"/>
          <w:lang w:eastAsia="en-GB"/>
        </w:rPr>
        <w:t xml:space="preserve">The Primary Care </w:t>
      </w:r>
      <w:r>
        <w:rPr>
          <w:rFonts w:eastAsia="Calibri"/>
          <w:color w:val="000000" w:themeColor="text1"/>
          <w:sz w:val="22"/>
          <w:szCs w:val="22"/>
          <w:lang w:eastAsia="en-GB"/>
        </w:rPr>
        <w:t>Subcommittee</w:t>
      </w:r>
      <w:r w:rsidRPr="001B06F9">
        <w:rPr>
          <w:rFonts w:eastAsia="Calibri"/>
          <w:color w:val="000000" w:themeColor="text1"/>
          <w:sz w:val="22"/>
          <w:szCs w:val="22"/>
          <w:lang w:eastAsia="en-GB"/>
        </w:rPr>
        <w:t xml:space="preserve"> is a </w:t>
      </w:r>
      <w:r>
        <w:rPr>
          <w:rFonts w:eastAsia="Calibri"/>
          <w:color w:val="000000" w:themeColor="text1"/>
          <w:sz w:val="22"/>
          <w:szCs w:val="22"/>
          <w:lang w:eastAsia="en-GB"/>
        </w:rPr>
        <w:t>Subcommittee</w:t>
      </w:r>
      <w:r w:rsidRPr="001B06F9">
        <w:rPr>
          <w:rFonts w:eastAsia="Calibri"/>
          <w:color w:val="000000" w:themeColor="text1"/>
          <w:sz w:val="22"/>
          <w:szCs w:val="22"/>
          <w:lang w:eastAsia="en-GB"/>
        </w:rPr>
        <w:t xml:space="preserve"> of the Executive Committee as established by the Board, in accordance with the NHS </w:t>
      </w:r>
      <w:proofErr w:type="gramStart"/>
      <w:r w:rsidRPr="001B06F9">
        <w:rPr>
          <w:rFonts w:eastAsia="Calibri"/>
          <w:color w:val="000000" w:themeColor="text1"/>
          <w:sz w:val="22"/>
          <w:szCs w:val="22"/>
          <w:lang w:eastAsia="en-GB"/>
        </w:rPr>
        <w:t>North East</w:t>
      </w:r>
      <w:proofErr w:type="gramEnd"/>
      <w:r w:rsidRPr="001B06F9">
        <w:rPr>
          <w:rFonts w:eastAsia="Calibri"/>
          <w:color w:val="000000" w:themeColor="text1"/>
          <w:sz w:val="22"/>
          <w:szCs w:val="22"/>
          <w:lang w:eastAsia="en-GB"/>
        </w:rPr>
        <w:t xml:space="preserve"> and North Cumbria's (hereafter referred to as the ICB) Scheme of Reservation and Delegation (</w:t>
      </w:r>
      <w:proofErr w:type="spellStart"/>
      <w:r w:rsidRPr="001B06F9">
        <w:rPr>
          <w:rFonts w:eastAsia="Calibri"/>
          <w:color w:val="000000" w:themeColor="text1"/>
          <w:sz w:val="22"/>
          <w:szCs w:val="22"/>
          <w:lang w:eastAsia="en-GB"/>
        </w:rPr>
        <w:t>SoRD</w:t>
      </w:r>
      <w:proofErr w:type="spellEnd"/>
      <w:r w:rsidRPr="001B06F9">
        <w:rPr>
          <w:rFonts w:eastAsia="Calibri"/>
          <w:color w:val="000000" w:themeColor="text1"/>
          <w:sz w:val="22"/>
          <w:szCs w:val="22"/>
          <w:lang w:eastAsia="en-GB"/>
        </w:rPr>
        <w:t>) and Constitution. The governance arrangements are depicted at Appendix 1.</w:t>
      </w:r>
      <w:bookmarkEnd w:id="15"/>
      <w:bookmarkEnd w:id="16"/>
    </w:p>
    <w:p w14:paraId="2BE5F621" w14:textId="77777777" w:rsidR="00E91B42" w:rsidRPr="00A6122E" w:rsidRDefault="00E91B42" w:rsidP="00E91B42">
      <w:pPr>
        <w:widowControl w:val="0"/>
        <w:numPr>
          <w:ilvl w:val="1"/>
          <w:numId w:val="0"/>
        </w:numPr>
        <w:spacing w:before="240" w:after="120"/>
        <w:ind w:left="567" w:hanging="567"/>
        <w:outlineLvl w:val="1"/>
        <w:rPr>
          <w:rFonts w:eastAsiaTheme="majorEastAsia"/>
          <w:b/>
          <w:bCs/>
          <w:sz w:val="26"/>
          <w:szCs w:val="26"/>
        </w:rPr>
      </w:pPr>
      <w:bookmarkStart w:id="17" w:name="_Toc161406321"/>
      <w:r w:rsidRPr="00A6122E">
        <w:rPr>
          <w:rFonts w:eastAsiaTheme="majorEastAsia"/>
          <w:b/>
          <w:bCs/>
          <w:sz w:val="26"/>
          <w:szCs w:val="26"/>
        </w:rPr>
        <w:t>Terms of reference:</w:t>
      </w:r>
      <w:bookmarkEnd w:id="6"/>
      <w:bookmarkEnd w:id="7"/>
      <w:bookmarkEnd w:id="8"/>
      <w:bookmarkEnd w:id="9"/>
      <w:bookmarkEnd w:id="17"/>
      <w:r w:rsidRPr="00A6122E">
        <w:rPr>
          <w:rFonts w:eastAsiaTheme="majorEastAsia"/>
          <w:b/>
          <w:bCs/>
          <w:sz w:val="26"/>
          <w:szCs w:val="26"/>
        </w:rPr>
        <w:t xml:space="preserve"> </w:t>
      </w:r>
    </w:p>
    <w:p w14:paraId="30200F87" w14:textId="77777777" w:rsidR="00E91B42" w:rsidRPr="001B06F9" w:rsidRDefault="00E91B42" w:rsidP="00E91B42">
      <w:pPr>
        <w:spacing w:before="120" w:after="120"/>
        <w:ind w:left="567"/>
        <w:rPr>
          <w:rFonts w:eastAsia="Calibri"/>
          <w:color w:val="000000" w:themeColor="text1"/>
          <w:sz w:val="22"/>
          <w:szCs w:val="22"/>
          <w:lang w:eastAsia="en-GB"/>
        </w:rPr>
      </w:pPr>
      <w:r w:rsidRPr="001B06F9">
        <w:rPr>
          <w:rFonts w:eastAsia="Calibri"/>
          <w:b/>
          <w:bCs/>
          <w:color w:val="000000" w:themeColor="text1"/>
          <w:sz w:val="22"/>
          <w:szCs w:val="22"/>
          <w:lang w:eastAsia="en-GB"/>
        </w:rPr>
        <w:t>Definition of terms:</w:t>
      </w:r>
      <w:r w:rsidRPr="001B06F9">
        <w:rPr>
          <w:rFonts w:eastAsia="Calibri"/>
          <w:color w:val="000000" w:themeColor="text1"/>
          <w:sz w:val="22"/>
          <w:szCs w:val="22"/>
          <w:lang w:eastAsia="en-GB"/>
        </w:rPr>
        <w:t xml:space="preserve"> The terms of reference are defined by the ICB.</w:t>
      </w:r>
    </w:p>
    <w:p w14:paraId="59008914" w14:textId="77777777" w:rsidR="00E91B42" w:rsidRPr="001B06F9" w:rsidRDefault="00E91B42" w:rsidP="00E91B42">
      <w:pPr>
        <w:spacing w:before="120" w:after="120"/>
        <w:ind w:left="567"/>
        <w:rPr>
          <w:rFonts w:eastAsia="Calibri"/>
          <w:color w:val="000000" w:themeColor="text1"/>
          <w:sz w:val="22"/>
          <w:szCs w:val="22"/>
          <w:lang w:eastAsia="en-GB"/>
        </w:rPr>
      </w:pPr>
      <w:r w:rsidRPr="001B06F9">
        <w:rPr>
          <w:rFonts w:eastAsia="Calibri"/>
          <w:b/>
          <w:bCs/>
          <w:color w:val="000000" w:themeColor="text1"/>
          <w:sz w:val="22"/>
          <w:szCs w:val="22"/>
          <w:lang w:eastAsia="en-GB"/>
        </w:rPr>
        <w:t xml:space="preserve">Amendment: </w:t>
      </w:r>
      <w:r w:rsidRPr="001B06F9">
        <w:rPr>
          <w:rFonts w:eastAsia="Calibri"/>
          <w:color w:val="000000" w:themeColor="text1"/>
          <w:sz w:val="22"/>
          <w:szCs w:val="22"/>
          <w:lang w:eastAsia="en-GB"/>
        </w:rPr>
        <w:t xml:space="preserve"> The terms of reference may be amended in accordance with the provisions set out in this SOP (Establishing </w:t>
      </w:r>
      <w:r>
        <w:rPr>
          <w:rFonts w:eastAsia="Calibri"/>
          <w:color w:val="000000" w:themeColor="text1"/>
          <w:sz w:val="22"/>
          <w:szCs w:val="22"/>
          <w:lang w:eastAsia="en-GB"/>
        </w:rPr>
        <w:t>Subcommittee</w:t>
      </w:r>
      <w:r w:rsidRPr="001B06F9">
        <w:rPr>
          <w:rFonts w:eastAsia="Calibri"/>
          <w:color w:val="000000" w:themeColor="text1"/>
          <w:sz w:val="22"/>
          <w:szCs w:val="22"/>
          <w:lang w:eastAsia="en-GB"/>
        </w:rPr>
        <w:t xml:space="preserve"> s).</w:t>
      </w:r>
    </w:p>
    <w:p w14:paraId="0497B8B5" w14:textId="77777777" w:rsidR="00E91B42" w:rsidRPr="001B06F9" w:rsidRDefault="00E91B42" w:rsidP="00E91B42">
      <w:pPr>
        <w:spacing w:before="120" w:after="120"/>
        <w:ind w:left="567"/>
        <w:rPr>
          <w:rFonts w:eastAsia="Calibri"/>
          <w:color w:val="000000" w:themeColor="text1"/>
          <w:sz w:val="22"/>
          <w:szCs w:val="22"/>
          <w:lang w:eastAsia="en-GB"/>
        </w:rPr>
      </w:pPr>
      <w:r w:rsidRPr="001B06F9">
        <w:rPr>
          <w:rFonts w:eastAsia="Calibri"/>
          <w:b/>
          <w:bCs/>
          <w:color w:val="000000" w:themeColor="text1"/>
          <w:sz w:val="22"/>
          <w:szCs w:val="22"/>
          <w:lang w:eastAsia="en-GB"/>
        </w:rPr>
        <w:t>Publication:</w:t>
      </w:r>
      <w:r w:rsidRPr="001B06F9">
        <w:rPr>
          <w:rFonts w:eastAsia="Calibri"/>
          <w:color w:val="000000" w:themeColor="text1"/>
          <w:sz w:val="22"/>
          <w:szCs w:val="22"/>
          <w:lang w:eastAsia="en-GB"/>
        </w:rPr>
        <w:t xml:space="preserve"> The terms of reference will be published in the ICB's Governance Handbook which is accessible here: </w:t>
      </w:r>
      <w:hyperlink r:id="rId13" w:history="1">
        <w:r w:rsidRPr="001B06F9">
          <w:rPr>
            <w:rFonts w:eastAsia="Calibri"/>
            <w:color w:val="0000FF" w:themeColor="hyperlink"/>
            <w:sz w:val="22"/>
            <w:szCs w:val="22"/>
            <w:u w:val="single"/>
            <w:lang w:eastAsia="en-GB"/>
          </w:rPr>
          <w:t>https://northeastnorthcumbria.nhs.uk/about-us/corporate-information/governance/</w:t>
        </w:r>
      </w:hyperlink>
    </w:p>
    <w:p w14:paraId="7325C606"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r w:rsidRPr="009A777F">
        <w:rPr>
          <w:rFonts w:eastAsiaTheme="majorEastAsia"/>
          <w:b/>
          <w:bCs/>
          <w:sz w:val="26"/>
          <w:szCs w:val="26"/>
        </w:rPr>
        <w:t>Purpose</w:t>
      </w:r>
      <w:bookmarkEnd w:id="10"/>
      <w:bookmarkEnd w:id="11"/>
      <w:bookmarkEnd w:id="12"/>
      <w:bookmarkEnd w:id="13"/>
      <w:bookmarkEnd w:id="14"/>
    </w:p>
    <w:p w14:paraId="609EC24D" w14:textId="060F99F1" w:rsidR="00E91B42" w:rsidRDefault="00E91B42" w:rsidP="00E91B42">
      <w:pPr>
        <w:widowControl w:val="0"/>
        <w:spacing w:after="120"/>
        <w:outlineLvl w:val="0"/>
        <w:rPr>
          <w:rFonts w:eastAsia="Times New Roman"/>
          <w:sz w:val="22"/>
          <w:szCs w:val="22"/>
        </w:rPr>
      </w:pPr>
      <w:bookmarkStart w:id="18" w:name="_Toc159234749"/>
      <w:bookmarkStart w:id="19" w:name="_Toc161406323"/>
      <w:r w:rsidRPr="001B06F9">
        <w:rPr>
          <w:rFonts w:eastAsia="Times New Roman"/>
          <w:sz w:val="22"/>
          <w:szCs w:val="22"/>
        </w:rPr>
        <w:t>The purpo</w:t>
      </w:r>
      <w:r w:rsidRPr="00A045C2">
        <w:rPr>
          <w:rFonts w:eastAsia="Times New Roman"/>
          <w:sz w:val="22"/>
          <w:szCs w:val="22"/>
        </w:rPr>
        <w:t xml:space="preserve">se of the </w:t>
      </w:r>
      <w:r>
        <w:rPr>
          <w:rFonts w:eastAsia="Times New Roman"/>
          <w:sz w:val="22"/>
          <w:szCs w:val="22"/>
        </w:rPr>
        <w:t>Subcommittee</w:t>
      </w:r>
      <w:r w:rsidRPr="00A045C2">
        <w:rPr>
          <w:rFonts w:eastAsia="Times New Roman"/>
          <w:sz w:val="22"/>
          <w:szCs w:val="22"/>
        </w:rPr>
        <w:t xml:space="preserve"> is to support the Executive Committee to discharge its duties relating to primary care.</w:t>
      </w:r>
      <w:bookmarkEnd w:id="18"/>
      <w:bookmarkEnd w:id="19"/>
    </w:p>
    <w:p w14:paraId="0536A486" w14:textId="77777777" w:rsidR="003349B8" w:rsidRPr="007846B5" w:rsidRDefault="003349B8" w:rsidP="003349B8">
      <w:pPr>
        <w:widowControl w:val="0"/>
        <w:spacing w:after="120"/>
        <w:ind w:left="567" w:hanging="567"/>
        <w:outlineLvl w:val="0"/>
        <w:rPr>
          <w:rFonts w:eastAsiaTheme="majorEastAsia" w:cstheme="majorBidi"/>
          <w:b/>
          <w:bCs/>
          <w:sz w:val="28"/>
          <w:szCs w:val="28"/>
        </w:rPr>
      </w:pPr>
    </w:p>
    <w:p w14:paraId="1C524CCC" w14:textId="77777777" w:rsidR="003349B8" w:rsidRPr="007846B5" w:rsidRDefault="003349B8" w:rsidP="003349B8">
      <w:pPr>
        <w:widowControl w:val="0"/>
        <w:spacing w:after="120"/>
        <w:ind w:left="567" w:hanging="567"/>
        <w:outlineLvl w:val="0"/>
        <w:rPr>
          <w:rFonts w:eastAsiaTheme="majorEastAsia" w:cstheme="majorBidi"/>
          <w:b/>
          <w:bCs/>
          <w:sz w:val="28"/>
          <w:szCs w:val="28"/>
        </w:rPr>
      </w:pPr>
      <w:bookmarkStart w:id="20" w:name="_Toc129939309"/>
      <w:bookmarkStart w:id="21" w:name="_Toc129939476"/>
      <w:bookmarkStart w:id="22" w:name="_Toc129939769"/>
      <w:bookmarkStart w:id="23" w:name="_Toc129940150"/>
      <w:bookmarkStart w:id="24" w:name="_Toc131156872"/>
      <w:r w:rsidRPr="007846B5">
        <w:rPr>
          <w:rFonts w:eastAsiaTheme="majorEastAsia" w:cstheme="majorBidi"/>
          <w:b/>
          <w:bCs/>
          <w:sz w:val="28"/>
          <w:szCs w:val="28"/>
        </w:rPr>
        <w:t>Roles and responsibilities</w:t>
      </w:r>
      <w:bookmarkEnd w:id="20"/>
      <w:bookmarkEnd w:id="21"/>
      <w:bookmarkEnd w:id="22"/>
      <w:bookmarkEnd w:id="23"/>
      <w:bookmarkEnd w:id="24"/>
    </w:p>
    <w:p w14:paraId="048559CE" w14:textId="77777777" w:rsidR="00E91B42" w:rsidRPr="00871608" w:rsidRDefault="00E91B42" w:rsidP="00E91B42">
      <w:pPr>
        <w:spacing w:before="120" w:after="120"/>
        <w:ind w:left="567"/>
        <w:rPr>
          <w:rFonts w:eastAsia="Calibri"/>
          <w:color w:val="000000" w:themeColor="text1"/>
          <w:sz w:val="22"/>
          <w:szCs w:val="22"/>
          <w:lang w:eastAsia="en-GB"/>
        </w:rPr>
      </w:pPr>
      <w:bookmarkStart w:id="25" w:name="_Toc129939310"/>
      <w:bookmarkStart w:id="26" w:name="_Toc129939477"/>
      <w:bookmarkStart w:id="27" w:name="_Toc129939770"/>
      <w:bookmarkStart w:id="28" w:name="_Toc129940151"/>
      <w:bookmarkStart w:id="29" w:name="_Toc131156873"/>
      <w:r w:rsidRPr="00871608">
        <w:rPr>
          <w:rFonts w:eastAsia="Calibri"/>
          <w:color w:val="000000" w:themeColor="text1"/>
          <w:sz w:val="22"/>
          <w:szCs w:val="22"/>
          <w:lang w:eastAsia="en-GB"/>
        </w:rPr>
        <w:t>This section describes the Subcommittee’s duties, authority, accountability, and reporting.</w:t>
      </w:r>
    </w:p>
    <w:p w14:paraId="0AD2DB8D"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Developing, considering, and agreeing key decisions pertinent to the role of the committee, or, where appropriate within schemes of delegation, recommending action to the executive committee as parent committee.</w:t>
      </w:r>
    </w:p>
    <w:p w14:paraId="563D6E0A"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Development and oversight of the delivery of primary care strategic plan as primary care's contribution to aligned to Ageing Well</w:t>
      </w:r>
    </w:p>
    <w:p w14:paraId="0DB349DB"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Development and oversight of the delivery of individual general medical, pharmacy, optometry, and dentistry strategic plans</w:t>
      </w:r>
    </w:p>
    <w:p w14:paraId="32251054"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Primary care transformation (general medical, pharmacy, optometry, and dentistry) plans</w:t>
      </w:r>
    </w:p>
    <w:p w14:paraId="52F04214"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 xml:space="preserve">Oversight and monitoring of the use of Primary Care System Development Funding (SDF) </w:t>
      </w:r>
    </w:p>
    <w:p w14:paraId="6623D1C1"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Overall co-ordination and oversight of the response to NENC</w:t>
      </w:r>
    </w:p>
    <w:p w14:paraId="0732C6D0"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Ensure standardisation and consistency of application of strategic frameworks and procedures, including signing off tools, frameworks, and SOPs</w:t>
      </w:r>
    </w:p>
    <w:p w14:paraId="4201CA0B"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Oversight of the response to local issues that have been escalated</w:t>
      </w:r>
    </w:p>
    <w:p w14:paraId="59B0CF7A"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Coordination of relevant workstreams across NENC.</w:t>
      </w:r>
    </w:p>
    <w:p w14:paraId="6F146019"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Overall oversight of primary care financial performance, including SDF deployment</w:t>
      </w:r>
    </w:p>
    <w:p w14:paraId="7BB784AE"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 xml:space="preserve">Overall oversight of primary care performance and quality </w:t>
      </w:r>
    </w:p>
    <w:p w14:paraId="4A6A131A"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lastRenderedPageBreak/>
        <w:t>Oversight of the ICB's management of delegated commissioning of primary care (GP, pharmacy, optometry and dentistry) from NHSE</w:t>
      </w:r>
    </w:p>
    <w:p w14:paraId="626BAB14"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Oversight of patient experiential and outcome data including GP patient surveys</w:t>
      </w:r>
    </w:p>
    <w:p w14:paraId="578F07EA" w14:textId="77777777" w:rsidR="00E91B42" w:rsidRPr="00871608" w:rsidRDefault="00E91B42" w:rsidP="00E91B42">
      <w:pPr>
        <w:numPr>
          <w:ilvl w:val="0"/>
          <w:numId w:val="33"/>
        </w:numPr>
        <w:spacing w:before="120" w:after="120"/>
        <w:rPr>
          <w:rFonts w:eastAsia="Calibri"/>
          <w:color w:val="000000" w:themeColor="text1"/>
          <w:sz w:val="22"/>
          <w:szCs w:val="22"/>
          <w:lang w:eastAsia="en-GB"/>
        </w:rPr>
      </w:pPr>
      <w:r w:rsidRPr="00871608">
        <w:rPr>
          <w:rFonts w:eastAsia="Calibri"/>
          <w:color w:val="000000" w:themeColor="text1"/>
          <w:sz w:val="22"/>
          <w:szCs w:val="22"/>
          <w:lang w:eastAsia="en-GB"/>
        </w:rPr>
        <w:t>Alignment with quality boards and patient safety system for quality and assurance oversight</w:t>
      </w:r>
    </w:p>
    <w:p w14:paraId="1BFDA4B2"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r w:rsidRPr="009A777F">
        <w:rPr>
          <w:rFonts w:eastAsiaTheme="majorEastAsia"/>
          <w:b/>
          <w:bCs/>
          <w:sz w:val="26"/>
          <w:szCs w:val="26"/>
        </w:rPr>
        <w:t>Duties</w:t>
      </w:r>
      <w:bookmarkEnd w:id="25"/>
      <w:bookmarkEnd w:id="26"/>
      <w:bookmarkEnd w:id="27"/>
      <w:bookmarkEnd w:id="28"/>
      <w:bookmarkEnd w:id="29"/>
      <w:r w:rsidRPr="009A777F">
        <w:rPr>
          <w:rFonts w:eastAsiaTheme="majorEastAsia"/>
          <w:b/>
          <w:bCs/>
          <w:sz w:val="26"/>
          <w:szCs w:val="26"/>
        </w:rPr>
        <w:t xml:space="preserve"> </w:t>
      </w:r>
    </w:p>
    <w:p w14:paraId="7E82DE39" w14:textId="77777777" w:rsidR="00E91B42" w:rsidRPr="00871608" w:rsidRDefault="00E91B42" w:rsidP="00E91B42">
      <w:pPr>
        <w:ind w:left="567"/>
        <w:rPr>
          <w:color w:val="000000" w:themeColor="text1"/>
          <w:sz w:val="22"/>
          <w:szCs w:val="22"/>
        </w:rPr>
      </w:pPr>
      <w:r w:rsidRPr="00871608">
        <w:rPr>
          <w:color w:val="000000" w:themeColor="text1"/>
          <w:sz w:val="22"/>
          <w:szCs w:val="22"/>
        </w:rPr>
        <w:t xml:space="preserve">The scope of the Subcommittee’s duties is as follows: </w:t>
      </w:r>
    </w:p>
    <w:p w14:paraId="7D943F71" w14:textId="77777777" w:rsidR="00E91B42" w:rsidRPr="00871608" w:rsidRDefault="00E91B42" w:rsidP="00E91B42">
      <w:pPr>
        <w:rPr>
          <w:color w:val="000000" w:themeColor="text1"/>
          <w:sz w:val="22"/>
          <w:szCs w:val="22"/>
        </w:rPr>
      </w:pPr>
    </w:p>
    <w:p w14:paraId="3B52D34D" w14:textId="77777777" w:rsidR="00E91B42" w:rsidRPr="00871608" w:rsidRDefault="00E91B42" w:rsidP="00E91B42">
      <w:pPr>
        <w:ind w:left="567"/>
        <w:rPr>
          <w:color w:val="000000" w:themeColor="text1"/>
          <w:sz w:val="22"/>
          <w:szCs w:val="22"/>
          <w:u w:val="single"/>
        </w:rPr>
      </w:pPr>
      <w:r w:rsidRPr="00871608">
        <w:rPr>
          <w:color w:val="000000" w:themeColor="text1"/>
          <w:sz w:val="22"/>
          <w:szCs w:val="22"/>
          <w:u w:val="single"/>
        </w:rPr>
        <w:t>Primary Medical Services</w:t>
      </w:r>
    </w:p>
    <w:p w14:paraId="7381178C" w14:textId="77777777" w:rsidR="00E91B42" w:rsidRPr="00871608" w:rsidRDefault="00E91B42" w:rsidP="00E91B42">
      <w:pPr>
        <w:ind w:left="567"/>
        <w:rPr>
          <w:color w:val="000000" w:themeColor="text1"/>
          <w:sz w:val="22"/>
          <w:szCs w:val="22"/>
        </w:rPr>
      </w:pPr>
      <w:r w:rsidRPr="00871608">
        <w:rPr>
          <w:color w:val="000000" w:themeColor="text1"/>
          <w:sz w:val="22"/>
          <w:szCs w:val="22"/>
        </w:rPr>
        <w:t xml:space="preserve">All decisions except those delegated by the Board to Place Subcommittees or individuals. </w:t>
      </w:r>
    </w:p>
    <w:p w14:paraId="3A714940" w14:textId="77777777" w:rsidR="00E91B42" w:rsidRPr="00871608" w:rsidRDefault="00E91B42" w:rsidP="00E91B42">
      <w:pPr>
        <w:ind w:left="567"/>
        <w:rPr>
          <w:color w:val="000000" w:themeColor="text1"/>
          <w:sz w:val="22"/>
          <w:szCs w:val="22"/>
          <w:u w:val="single"/>
        </w:rPr>
      </w:pPr>
    </w:p>
    <w:p w14:paraId="2713EB9A" w14:textId="77777777" w:rsidR="00E91B42" w:rsidRPr="00871608" w:rsidRDefault="00E91B42" w:rsidP="00E91B42">
      <w:pPr>
        <w:ind w:left="567"/>
        <w:rPr>
          <w:color w:val="000000" w:themeColor="text1"/>
          <w:sz w:val="22"/>
          <w:szCs w:val="22"/>
          <w:u w:val="single"/>
        </w:rPr>
      </w:pPr>
      <w:r w:rsidRPr="00871608">
        <w:rPr>
          <w:color w:val="000000" w:themeColor="text1"/>
          <w:sz w:val="22"/>
          <w:szCs w:val="22"/>
          <w:u w:val="single"/>
        </w:rPr>
        <w:t>Pharmacy</w:t>
      </w:r>
    </w:p>
    <w:p w14:paraId="42423422" w14:textId="77777777" w:rsidR="00E91B42" w:rsidRPr="00871608" w:rsidRDefault="00E91B42" w:rsidP="00E91B42">
      <w:pPr>
        <w:ind w:left="567"/>
        <w:rPr>
          <w:color w:val="FF0000"/>
          <w:sz w:val="22"/>
          <w:szCs w:val="22"/>
        </w:rPr>
      </w:pPr>
      <w:r w:rsidRPr="00871608">
        <w:rPr>
          <w:color w:val="000000" w:themeColor="text1"/>
          <w:sz w:val="22"/>
          <w:szCs w:val="22"/>
        </w:rPr>
        <w:t xml:space="preserve">All decisions except those delegated by the Board to the Pharmaceutical Service Regulations (sub) Committee (PSRC). </w:t>
      </w:r>
    </w:p>
    <w:p w14:paraId="00D6D73E" w14:textId="77777777" w:rsidR="00E91B42" w:rsidRPr="00871608" w:rsidRDefault="00E91B42" w:rsidP="00E91B42">
      <w:pPr>
        <w:ind w:left="567"/>
        <w:rPr>
          <w:color w:val="000000" w:themeColor="text1"/>
          <w:sz w:val="22"/>
          <w:szCs w:val="22"/>
        </w:rPr>
      </w:pPr>
    </w:p>
    <w:p w14:paraId="4D0C25A9" w14:textId="77777777" w:rsidR="00E91B42" w:rsidRPr="00871608" w:rsidRDefault="00E91B42" w:rsidP="00E91B42">
      <w:pPr>
        <w:ind w:left="567"/>
        <w:rPr>
          <w:color w:val="000000" w:themeColor="text1"/>
          <w:sz w:val="22"/>
          <w:szCs w:val="22"/>
          <w:u w:val="single"/>
        </w:rPr>
      </w:pPr>
      <w:r w:rsidRPr="00871608">
        <w:rPr>
          <w:color w:val="000000" w:themeColor="text1"/>
          <w:sz w:val="22"/>
          <w:szCs w:val="22"/>
          <w:u w:val="single"/>
        </w:rPr>
        <w:t>Optometry</w:t>
      </w:r>
    </w:p>
    <w:p w14:paraId="660DB0D1" w14:textId="77777777" w:rsidR="00E91B42" w:rsidRPr="00871608" w:rsidRDefault="00E91B42" w:rsidP="00E91B42">
      <w:pPr>
        <w:ind w:left="567"/>
        <w:rPr>
          <w:color w:val="000000" w:themeColor="text1"/>
          <w:sz w:val="22"/>
          <w:szCs w:val="22"/>
        </w:rPr>
      </w:pPr>
      <w:r w:rsidRPr="00871608">
        <w:rPr>
          <w:color w:val="000000" w:themeColor="text1"/>
          <w:sz w:val="22"/>
          <w:szCs w:val="22"/>
        </w:rPr>
        <w:t xml:space="preserve">All commissioning and contracting decisions </w:t>
      </w:r>
    </w:p>
    <w:p w14:paraId="364520DC" w14:textId="77777777" w:rsidR="00E91B42" w:rsidRPr="00871608" w:rsidRDefault="00E91B42" w:rsidP="00E91B42">
      <w:pPr>
        <w:ind w:left="567"/>
        <w:rPr>
          <w:color w:val="000000" w:themeColor="text1"/>
          <w:sz w:val="22"/>
          <w:szCs w:val="22"/>
        </w:rPr>
      </w:pPr>
    </w:p>
    <w:p w14:paraId="150A7715" w14:textId="77777777" w:rsidR="00E91B42" w:rsidRPr="00871608" w:rsidRDefault="00E91B42" w:rsidP="00E91B42">
      <w:pPr>
        <w:ind w:left="567"/>
        <w:rPr>
          <w:color w:val="000000" w:themeColor="text1"/>
          <w:sz w:val="22"/>
          <w:szCs w:val="22"/>
          <w:u w:val="single"/>
        </w:rPr>
      </w:pPr>
      <w:r w:rsidRPr="00871608">
        <w:rPr>
          <w:color w:val="000000" w:themeColor="text1"/>
          <w:sz w:val="22"/>
          <w:szCs w:val="22"/>
          <w:u w:val="single"/>
        </w:rPr>
        <w:t>Dentistry</w:t>
      </w:r>
    </w:p>
    <w:p w14:paraId="4D872E54" w14:textId="77777777" w:rsidR="00E91B42" w:rsidRPr="00871608" w:rsidRDefault="00E91B42" w:rsidP="00E91B42">
      <w:pPr>
        <w:ind w:left="567"/>
        <w:rPr>
          <w:color w:val="000000" w:themeColor="text1"/>
          <w:sz w:val="22"/>
          <w:szCs w:val="22"/>
        </w:rPr>
      </w:pPr>
      <w:r w:rsidRPr="00871608">
        <w:rPr>
          <w:color w:val="000000" w:themeColor="text1"/>
          <w:sz w:val="22"/>
          <w:szCs w:val="22"/>
        </w:rPr>
        <w:t xml:space="preserve">All commissioning and contracting decisions </w:t>
      </w:r>
    </w:p>
    <w:p w14:paraId="56093437" w14:textId="77777777" w:rsidR="00E91B42" w:rsidRPr="00871608" w:rsidRDefault="00E91B42" w:rsidP="00E91B42">
      <w:pPr>
        <w:ind w:left="567"/>
        <w:rPr>
          <w:color w:val="000000" w:themeColor="text1"/>
          <w:sz w:val="20"/>
          <w:szCs w:val="20"/>
        </w:rPr>
      </w:pPr>
    </w:p>
    <w:p w14:paraId="3A250ACE" w14:textId="77777777" w:rsidR="00E91B42" w:rsidRPr="00871608" w:rsidRDefault="00E91B42" w:rsidP="00E91B42">
      <w:pPr>
        <w:ind w:left="567"/>
        <w:rPr>
          <w:color w:val="000000" w:themeColor="text1"/>
          <w:sz w:val="22"/>
          <w:szCs w:val="22"/>
        </w:rPr>
      </w:pPr>
      <w:r w:rsidRPr="00871608">
        <w:rPr>
          <w:color w:val="000000" w:themeColor="text1"/>
          <w:sz w:val="22"/>
          <w:szCs w:val="22"/>
        </w:rPr>
        <w:t>The duties of the Primary Care Subcommittee are listed below:</w:t>
      </w:r>
    </w:p>
    <w:p w14:paraId="6CD92CB5" w14:textId="77777777" w:rsidR="003349B8" w:rsidRDefault="003349B8" w:rsidP="003349B8">
      <w:pPr>
        <w:ind w:left="567"/>
        <w:rPr>
          <w:color w:val="000000" w:themeColor="text1"/>
          <w:sz w:val="22"/>
          <w:szCs w:val="22"/>
          <w:highlight w:val="yellow"/>
        </w:rPr>
      </w:pPr>
    </w:p>
    <w:p w14:paraId="6A024213" w14:textId="77777777" w:rsidR="00E91B42" w:rsidRPr="000C3339" w:rsidRDefault="00E91B42" w:rsidP="00E91B42">
      <w:pPr>
        <w:rPr>
          <w:rFonts w:eastAsia="Calibri"/>
          <w:b/>
          <w:bCs/>
          <w:u w:val="single"/>
          <w:lang w:eastAsia="en-GB"/>
        </w:rPr>
      </w:pPr>
      <w:r w:rsidRPr="000C3339">
        <w:rPr>
          <w:rFonts w:eastAsia="Calibri"/>
          <w:b/>
          <w:bCs/>
          <w:u w:val="single"/>
          <w:lang w:eastAsia="en-GB"/>
        </w:rPr>
        <w:t>ALL PRIMARY CARE SERVICES</w:t>
      </w:r>
    </w:p>
    <w:p w14:paraId="73ADBE46" w14:textId="77777777" w:rsidR="00E91B42" w:rsidRPr="000C3339" w:rsidRDefault="00E91B42" w:rsidP="00E91B42">
      <w:pPr>
        <w:rPr>
          <w:rFonts w:eastAsia="Calibri"/>
          <w:b/>
          <w:bCs/>
          <w:u w:val="single"/>
          <w:lang w:eastAsia="en-GB"/>
        </w:rPr>
      </w:pPr>
    </w:p>
    <w:tbl>
      <w:tblPr>
        <w:tblStyle w:val="TableGrid8"/>
        <w:tblW w:w="0" w:type="auto"/>
        <w:tblLook w:val="04A0" w:firstRow="1" w:lastRow="0" w:firstColumn="1" w:lastColumn="0" w:noHBand="0" w:noVBand="1"/>
      </w:tblPr>
      <w:tblGrid>
        <w:gridCol w:w="1384"/>
        <w:gridCol w:w="7632"/>
      </w:tblGrid>
      <w:tr w:rsidR="00E91B42" w:rsidRPr="000C3339" w14:paraId="47668408" w14:textId="77777777" w:rsidTr="00DF1262">
        <w:trPr>
          <w:tblHeader/>
        </w:trPr>
        <w:tc>
          <w:tcPr>
            <w:tcW w:w="1384" w:type="dxa"/>
          </w:tcPr>
          <w:p w14:paraId="6B69686E" w14:textId="77777777" w:rsidR="00E91B42" w:rsidRPr="00871608" w:rsidRDefault="00E91B42" w:rsidP="00DF1262">
            <w:pPr>
              <w:rPr>
                <w:rFonts w:eastAsia="Calibri"/>
                <w:b/>
                <w:bCs/>
                <w:sz w:val="22"/>
                <w:szCs w:val="22"/>
                <w:lang w:eastAsia="en-GB"/>
              </w:rPr>
            </w:pPr>
            <w:r w:rsidRPr="00871608">
              <w:rPr>
                <w:rFonts w:eastAsia="Calibri"/>
                <w:b/>
                <w:bCs/>
                <w:sz w:val="22"/>
                <w:szCs w:val="22"/>
                <w:lang w:eastAsia="en-GB"/>
              </w:rPr>
              <w:t>Reference</w:t>
            </w:r>
          </w:p>
          <w:p w14:paraId="45D83E78" w14:textId="77777777" w:rsidR="00E91B42" w:rsidRPr="00871608" w:rsidRDefault="00E91B42" w:rsidP="00DF1262">
            <w:pPr>
              <w:rPr>
                <w:rFonts w:eastAsia="Calibri"/>
                <w:b/>
                <w:bCs/>
                <w:sz w:val="22"/>
                <w:szCs w:val="22"/>
                <w:lang w:eastAsia="en-GB"/>
              </w:rPr>
            </w:pPr>
          </w:p>
        </w:tc>
        <w:tc>
          <w:tcPr>
            <w:tcW w:w="7632" w:type="dxa"/>
          </w:tcPr>
          <w:p w14:paraId="13E15AD6" w14:textId="77777777" w:rsidR="00E91B42" w:rsidRPr="00871608" w:rsidRDefault="00E91B42" w:rsidP="00DF1262">
            <w:pPr>
              <w:rPr>
                <w:rFonts w:eastAsia="Calibri"/>
                <w:b/>
                <w:bCs/>
                <w:sz w:val="22"/>
                <w:szCs w:val="22"/>
                <w:lang w:eastAsia="en-GB"/>
              </w:rPr>
            </w:pPr>
            <w:r w:rsidRPr="00871608">
              <w:rPr>
                <w:rFonts w:eastAsia="Calibri"/>
                <w:b/>
                <w:bCs/>
                <w:sz w:val="22"/>
                <w:szCs w:val="22"/>
                <w:lang w:eastAsia="en-GB"/>
              </w:rPr>
              <w:t>Delegation</w:t>
            </w:r>
          </w:p>
        </w:tc>
      </w:tr>
      <w:tr w:rsidR="00E91B42" w:rsidRPr="000C3339" w14:paraId="5F72E25E" w14:textId="77777777" w:rsidTr="00DF1262">
        <w:tc>
          <w:tcPr>
            <w:tcW w:w="1384" w:type="dxa"/>
          </w:tcPr>
          <w:p w14:paraId="42E3FAE7"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w:t>
            </w:r>
          </w:p>
        </w:tc>
        <w:tc>
          <w:tcPr>
            <w:tcW w:w="7632" w:type="dxa"/>
          </w:tcPr>
          <w:p w14:paraId="3F1D3B25" w14:textId="77777777" w:rsidR="00E91B42" w:rsidRPr="00871608" w:rsidRDefault="00E91B42" w:rsidP="00DF1262">
            <w:pPr>
              <w:rPr>
                <w:rFonts w:eastAsia="Calibri"/>
                <w:sz w:val="22"/>
                <w:szCs w:val="22"/>
                <w:lang w:eastAsia="en-GB"/>
              </w:rPr>
            </w:pPr>
            <w:r w:rsidRPr="00871608">
              <w:rPr>
                <w:rFonts w:eastAsia="Calibri"/>
                <w:sz w:val="22"/>
                <w:szCs w:val="22"/>
                <w:lang w:eastAsia="en-GB"/>
              </w:rPr>
              <w:t>Occupational health contract commissioning and management</w:t>
            </w:r>
          </w:p>
        </w:tc>
      </w:tr>
      <w:tr w:rsidR="00E91B42" w:rsidRPr="000C3339" w14:paraId="2CA68721" w14:textId="77777777" w:rsidTr="00DF1262">
        <w:tc>
          <w:tcPr>
            <w:tcW w:w="1384" w:type="dxa"/>
          </w:tcPr>
          <w:p w14:paraId="55630784"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2</w:t>
            </w:r>
          </w:p>
        </w:tc>
        <w:tc>
          <w:tcPr>
            <w:tcW w:w="7632" w:type="dxa"/>
          </w:tcPr>
          <w:p w14:paraId="532424D9" w14:textId="77777777" w:rsidR="00E91B42" w:rsidRPr="00871608" w:rsidRDefault="00E91B42" w:rsidP="00DF1262">
            <w:pPr>
              <w:rPr>
                <w:rFonts w:eastAsia="Calibri"/>
                <w:sz w:val="22"/>
                <w:szCs w:val="22"/>
                <w:lang w:eastAsia="en-GB"/>
              </w:rPr>
            </w:pPr>
            <w:r w:rsidRPr="00871608">
              <w:rPr>
                <w:rFonts w:eastAsia="Calibri"/>
                <w:sz w:val="22"/>
                <w:szCs w:val="22"/>
                <w:lang w:eastAsia="en-GB"/>
              </w:rPr>
              <w:t>Escalation of disputes</w:t>
            </w:r>
          </w:p>
        </w:tc>
      </w:tr>
      <w:tr w:rsidR="00E91B42" w:rsidRPr="000C3339" w14:paraId="57296050" w14:textId="77777777" w:rsidTr="00DF1262">
        <w:tc>
          <w:tcPr>
            <w:tcW w:w="1384" w:type="dxa"/>
          </w:tcPr>
          <w:p w14:paraId="0B9ABEDB"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3</w:t>
            </w:r>
          </w:p>
        </w:tc>
        <w:tc>
          <w:tcPr>
            <w:tcW w:w="7632" w:type="dxa"/>
          </w:tcPr>
          <w:p w14:paraId="4A987E12" w14:textId="77777777" w:rsidR="00E91B42" w:rsidRPr="00871608" w:rsidRDefault="00E91B42" w:rsidP="00DF1262">
            <w:pPr>
              <w:rPr>
                <w:rFonts w:eastAsia="Calibri"/>
                <w:sz w:val="22"/>
                <w:szCs w:val="22"/>
                <w:lang w:eastAsia="en-GB"/>
              </w:rPr>
            </w:pPr>
            <w:r w:rsidRPr="00871608">
              <w:rPr>
                <w:rFonts w:eastAsia="Calibri"/>
                <w:sz w:val="22"/>
                <w:szCs w:val="22"/>
                <w:lang w:eastAsia="en-GB"/>
              </w:rPr>
              <w:t>Forward plans for all functions</w:t>
            </w:r>
          </w:p>
        </w:tc>
      </w:tr>
      <w:tr w:rsidR="00E91B42" w:rsidRPr="000C3339" w14:paraId="29BCE536" w14:textId="77777777" w:rsidTr="00DF1262">
        <w:tc>
          <w:tcPr>
            <w:tcW w:w="1384" w:type="dxa"/>
          </w:tcPr>
          <w:p w14:paraId="6960CCDA"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4</w:t>
            </w:r>
          </w:p>
        </w:tc>
        <w:tc>
          <w:tcPr>
            <w:tcW w:w="7632" w:type="dxa"/>
          </w:tcPr>
          <w:p w14:paraId="419FC7B3" w14:textId="77777777" w:rsidR="00E91B42" w:rsidRPr="00871608" w:rsidRDefault="00E91B42" w:rsidP="00DF1262">
            <w:pPr>
              <w:rPr>
                <w:rFonts w:eastAsia="Calibri"/>
                <w:sz w:val="22"/>
                <w:szCs w:val="22"/>
                <w:lang w:eastAsia="en-GB"/>
              </w:rPr>
            </w:pPr>
            <w:r w:rsidRPr="00871608">
              <w:rPr>
                <w:rFonts w:eastAsia="Calibri"/>
                <w:sz w:val="22"/>
                <w:szCs w:val="22"/>
                <w:lang w:eastAsia="en-GB"/>
              </w:rPr>
              <w:t>Enabler plans for all functions including estates, workforce and digital</w:t>
            </w:r>
          </w:p>
        </w:tc>
      </w:tr>
      <w:tr w:rsidR="00E91B42" w:rsidRPr="000C3339" w14:paraId="47438072" w14:textId="77777777" w:rsidTr="00DF1262">
        <w:tc>
          <w:tcPr>
            <w:tcW w:w="1384" w:type="dxa"/>
          </w:tcPr>
          <w:p w14:paraId="4EB21186"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5</w:t>
            </w:r>
          </w:p>
        </w:tc>
        <w:tc>
          <w:tcPr>
            <w:tcW w:w="7632" w:type="dxa"/>
          </w:tcPr>
          <w:p w14:paraId="20571168" w14:textId="77777777" w:rsidR="00E91B42" w:rsidRPr="00871608" w:rsidRDefault="00E91B42" w:rsidP="00DF1262">
            <w:pPr>
              <w:rPr>
                <w:rFonts w:eastAsia="Calibri"/>
                <w:sz w:val="22"/>
                <w:szCs w:val="22"/>
                <w:lang w:eastAsia="en-GB"/>
              </w:rPr>
            </w:pPr>
            <w:r w:rsidRPr="00871608">
              <w:rPr>
                <w:rFonts w:eastAsia="Calibri"/>
                <w:sz w:val="22"/>
                <w:szCs w:val="22"/>
                <w:lang w:eastAsia="en-GB"/>
              </w:rPr>
              <w:t>Local professional network proposals (for decision)</w:t>
            </w:r>
          </w:p>
        </w:tc>
      </w:tr>
      <w:tr w:rsidR="00E91B42" w:rsidRPr="000C3339" w14:paraId="3FD2B677" w14:textId="77777777" w:rsidTr="00DF1262">
        <w:tc>
          <w:tcPr>
            <w:tcW w:w="1384" w:type="dxa"/>
          </w:tcPr>
          <w:p w14:paraId="03A38210"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6</w:t>
            </w:r>
          </w:p>
        </w:tc>
        <w:tc>
          <w:tcPr>
            <w:tcW w:w="7632" w:type="dxa"/>
          </w:tcPr>
          <w:p w14:paraId="32C161D3"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Decisions in respect of Quality Assurance Frameworks</w:t>
            </w:r>
          </w:p>
        </w:tc>
      </w:tr>
      <w:tr w:rsidR="00E91B42" w:rsidRPr="000C3339" w14:paraId="5CCF49B2" w14:textId="77777777" w:rsidTr="00DF1262">
        <w:tc>
          <w:tcPr>
            <w:tcW w:w="1384" w:type="dxa"/>
          </w:tcPr>
          <w:p w14:paraId="11AED2C4"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7</w:t>
            </w:r>
          </w:p>
        </w:tc>
        <w:tc>
          <w:tcPr>
            <w:tcW w:w="7632" w:type="dxa"/>
          </w:tcPr>
          <w:p w14:paraId="7AD87361" w14:textId="77777777" w:rsidR="00E91B42" w:rsidRPr="00871608" w:rsidRDefault="00E91B42" w:rsidP="00DF1262">
            <w:pPr>
              <w:rPr>
                <w:rFonts w:eastAsia="Calibri"/>
                <w:sz w:val="22"/>
                <w:szCs w:val="22"/>
                <w:lang w:eastAsia="en-GB"/>
              </w:rPr>
            </w:pPr>
            <w:r w:rsidRPr="00871608">
              <w:rPr>
                <w:rFonts w:eastAsia="Calibri"/>
                <w:sz w:val="22"/>
                <w:szCs w:val="22"/>
                <w:lang w:eastAsia="en-GB"/>
              </w:rPr>
              <w:t>Commissioning needs analysis and commissioning of ad-hoc primary care services</w:t>
            </w:r>
          </w:p>
        </w:tc>
      </w:tr>
      <w:tr w:rsidR="00E91B42" w:rsidRPr="000C3339" w14:paraId="7BA74D72" w14:textId="77777777" w:rsidTr="00DF1262">
        <w:tc>
          <w:tcPr>
            <w:tcW w:w="1384" w:type="dxa"/>
          </w:tcPr>
          <w:p w14:paraId="174B1C71"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8</w:t>
            </w:r>
          </w:p>
        </w:tc>
        <w:tc>
          <w:tcPr>
            <w:tcW w:w="7632" w:type="dxa"/>
          </w:tcPr>
          <w:p w14:paraId="378EC84F"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Decisions in respect of investigations (commencement and outcome excluding Primary Medical Care Services)</w:t>
            </w:r>
          </w:p>
        </w:tc>
      </w:tr>
      <w:tr w:rsidR="00E91B42" w:rsidRPr="000C3339" w14:paraId="07432808" w14:textId="77777777" w:rsidTr="00DF1262">
        <w:tc>
          <w:tcPr>
            <w:tcW w:w="1384" w:type="dxa"/>
          </w:tcPr>
          <w:p w14:paraId="5C530AF2"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9</w:t>
            </w:r>
          </w:p>
        </w:tc>
        <w:tc>
          <w:tcPr>
            <w:tcW w:w="7632" w:type="dxa"/>
          </w:tcPr>
          <w:p w14:paraId="78D7BB8E" w14:textId="77777777" w:rsidR="00E91B42" w:rsidRPr="00871608" w:rsidRDefault="00E91B42" w:rsidP="00DF1262">
            <w:pPr>
              <w:rPr>
                <w:rFonts w:eastAsia="Calibri"/>
                <w:sz w:val="22"/>
                <w:szCs w:val="22"/>
                <w:lang w:eastAsia="en-GB"/>
              </w:rPr>
            </w:pPr>
            <w:r w:rsidRPr="00871608">
              <w:rPr>
                <w:rFonts w:eastAsia="Calibri"/>
                <w:sz w:val="22"/>
                <w:szCs w:val="22"/>
                <w:lang w:eastAsia="en-GB"/>
              </w:rPr>
              <w:t>Clinical Waste contract commissioning and management</w:t>
            </w:r>
          </w:p>
        </w:tc>
      </w:tr>
    </w:tbl>
    <w:p w14:paraId="36636EAF" w14:textId="77777777" w:rsidR="00E91B42" w:rsidRPr="000C3339" w:rsidRDefault="00E91B42" w:rsidP="00E91B42">
      <w:pPr>
        <w:rPr>
          <w:rFonts w:eastAsia="Calibri"/>
          <w:lang w:eastAsia="en-GB"/>
        </w:rPr>
      </w:pPr>
    </w:p>
    <w:p w14:paraId="1F99F6C2" w14:textId="77777777" w:rsidR="00E91B42" w:rsidRPr="000C3339" w:rsidRDefault="00E91B42" w:rsidP="00E91B42">
      <w:pPr>
        <w:rPr>
          <w:u w:val="single"/>
        </w:rPr>
      </w:pPr>
      <w:r w:rsidRPr="000C3339">
        <w:rPr>
          <w:b/>
          <w:bCs/>
        </w:rPr>
        <w:t>OPTOMETRY</w:t>
      </w:r>
    </w:p>
    <w:p w14:paraId="709C3961" w14:textId="77777777" w:rsidR="00E91B42" w:rsidRPr="000C3339" w:rsidRDefault="00E91B42" w:rsidP="00E91B42">
      <w:pPr>
        <w:rPr>
          <w:u w:val="single"/>
        </w:rPr>
      </w:pPr>
    </w:p>
    <w:tbl>
      <w:tblPr>
        <w:tblStyle w:val="TableGrid8"/>
        <w:tblW w:w="0" w:type="auto"/>
        <w:tblLook w:val="04A0" w:firstRow="1" w:lastRow="0" w:firstColumn="1" w:lastColumn="0" w:noHBand="0" w:noVBand="1"/>
      </w:tblPr>
      <w:tblGrid>
        <w:gridCol w:w="1384"/>
        <w:gridCol w:w="7632"/>
      </w:tblGrid>
      <w:tr w:rsidR="00E91B42" w:rsidRPr="000C3339" w14:paraId="22757070" w14:textId="77777777" w:rsidTr="00DF1262">
        <w:trPr>
          <w:tblHeader/>
        </w:trPr>
        <w:tc>
          <w:tcPr>
            <w:tcW w:w="1384" w:type="dxa"/>
          </w:tcPr>
          <w:p w14:paraId="34523454" w14:textId="77777777" w:rsidR="00E91B42" w:rsidRPr="000C3339" w:rsidRDefault="00E91B42" w:rsidP="00DF1262">
            <w:pPr>
              <w:rPr>
                <w:rFonts w:eastAsia="Calibri"/>
                <w:b/>
                <w:bCs/>
                <w:lang w:eastAsia="en-GB"/>
              </w:rPr>
            </w:pPr>
            <w:r w:rsidRPr="000C3339">
              <w:rPr>
                <w:rFonts w:eastAsia="Calibri"/>
                <w:b/>
                <w:bCs/>
                <w:lang w:eastAsia="en-GB"/>
              </w:rPr>
              <w:t>Reference</w:t>
            </w:r>
          </w:p>
          <w:p w14:paraId="50AE382E" w14:textId="77777777" w:rsidR="00E91B42" w:rsidRPr="000C3339" w:rsidRDefault="00E91B42" w:rsidP="00DF1262">
            <w:pPr>
              <w:rPr>
                <w:rFonts w:eastAsia="Calibri"/>
                <w:b/>
                <w:bCs/>
                <w:lang w:eastAsia="en-GB"/>
              </w:rPr>
            </w:pPr>
          </w:p>
        </w:tc>
        <w:tc>
          <w:tcPr>
            <w:tcW w:w="7632" w:type="dxa"/>
          </w:tcPr>
          <w:p w14:paraId="46AE295B" w14:textId="77777777" w:rsidR="00E91B42" w:rsidRPr="000C3339" w:rsidRDefault="00E91B42" w:rsidP="00DF1262">
            <w:pPr>
              <w:rPr>
                <w:rFonts w:eastAsia="Calibri"/>
                <w:b/>
                <w:bCs/>
                <w:lang w:eastAsia="en-GB"/>
              </w:rPr>
            </w:pPr>
            <w:r w:rsidRPr="000C3339">
              <w:rPr>
                <w:rFonts w:eastAsia="Calibri"/>
                <w:b/>
                <w:bCs/>
                <w:lang w:eastAsia="en-GB"/>
              </w:rPr>
              <w:t>Delegation</w:t>
            </w:r>
          </w:p>
        </w:tc>
      </w:tr>
      <w:tr w:rsidR="00E91B42" w:rsidRPr="000C3339" w14:paraId="422FFB0E" w14:textId="77777777" w:rsidTr="00DF1262">
        <w:tc>
          <w:tcPr>
            <w:tcW w:w="1384" w:type="dxa"/>
          </w:tcPr>
          <w:p w14:paraId="0E672D24"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w:t>
            </w:r>
          </w:p>
        </w:tc>
        <w:tc>
          <w:tcPr>
            <w:tcW w:w="7632" w:type="dxa"/>
          </w:tcPr>
          <w:p w14:paraId="273B7740" w14:textId="77777777" w:rsidR="00E91B42" w:rsidRPr="00871608" w:rsidRDefault="00E91B42" w:rsidP="00DF1262">
            <w:pPr>
              <w:rPr>
                <w:rFonts w:eastAsia="Calibri"/>
                <w:sz w:val="22"/>
                <w:szCs w:val="22"/>
                <w:lang w:eastAsia="en-GB"/>
              </w:rPr>
            </w:pPr>
            <w:r w:rsidRPr="00871608">
              <w:rPr>
                <w:rFonts w:eastAsia="Calibri"/>
                <w:sz w:val="22"/>
                <w:szCs w:val="22"/>
                <w:lang w:eastAsia="en-GB"/>
              </w:rPr>
              <w:t>Primary Care Audits - Quality in Optometry Assurance Framework</w:t>
            </w:r>
          </w:p>
          <w:p w14:paraId="2F5A9C6E" w14:textId="77777777" w:rsidR="00E91B42" w:rsidRPr="00871608" w:rsidRDefault="00E91B42" w:rsidP="00DF1262">
            <w:pPr>
              <w:rPr>
                <w:rFonts w:eastAsia="Calibri"/>
                <w:sz w:val="22"/>
                <w:szCs w:val="22"/>
                <w:lang w:eastAsia="en-GB"/>
              </w:rPr>
            </w:pPr>
          </w:p>
        </w:tc>
      </w:tr>
      <w:tr w:rsidR="00E91B42" w:rsidRPr="000C3339" w14:paraId="11A83A5C" w14:textId="77777777" w:rsidTr="00DF1262">
        <w:tc>
          <w:tcPr>
            <w:tcW w:w="1384" w:type="dxa"/>
          </w:tcPr>
          <w:p w14:paraId="45BF32C9"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2</w:t>
            </w:r>
          </w:p>
        </w:tc>
        <w:tc>
          <w:tcPr>
            <w:tcW w:w="7632" w:type="dxa"/>
          </w:tcPr>
          <w:p w14:paraId="530C15AC" w14:textId="77777777" w:rsidR="00E91B42" w:rsidRPr="00871608" w:rsidRDefault="00E91B42" w:rsidP="00DF1262">
            <w:pPr>
              <w:rPr>
                <w:rFonts w:eastAsia="Calibri"/>
                <w:sz w:val="22"/>
                <w:szCs w:val="22"/>
                <w:lang w:eastAsia="en-GB"/>
              </w:rPr>
            </w:pPr>
            <w:r w:rsidRPr="00871608">
              <w:rPr>
                <w:rFonts w:eastAsia="Calibri"/>
                <w:sz w:val="22"/>
                <w:szCs w:val="22"/>
                <w:lang w:eastAsia="en-GB"/>
              </w:rPr>
              <w:t>Optometry National &amp; Local Enhanced Services commissioning and contracting</w:t>
            </w:r>
          </w:p>
        </w:tc>
      </w:tr>
      <w:tr w:rsidR="00E91B42" w:rsidRPr="000C3339" w14:paraId="2A2F375E" w14:textId="77777777" w:rsidTr="00DF1262">
        <w:tc>
          <w:tcPr>
            <w:tcW w:w="1384" w:type="dxa"/>
          </w:tcPr>
          <w:p w14:paraId="7DD38AD9"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3</w:t>
            </w:r>
          </w:p>
        </w:tc>
        <w:tc>
          <w:tcPr>
            <w:tcW w:w="7632" w:type="dxa"/>
          </w:tcPr>
          <w:p w14:paraId="3782A636"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New optometry contracts </w:t>
            </w:r>
          </w:p>
        </w:tc>
      </w:tr>
      <w:tr w:rsidR="00E91B42" w:rsidRPr="000C3339" w14:paraId="68B7344F" w14:textId="77777777" w:rsidTr="00DF1262">
        <w:tc>
          <w:tcPr>
            <w:tcW w:w="1384" w:type="dxa"/>
          </w:tcPr>
          <w:p w14:paraId="706BCB24"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4</w:t>
            </w:r>
          </w:p>
        </w:tc>
        <w:tc>
          <w:tcPr>
            <w:tcW w:w="7632" w:type="dxa"/>
          </w:tcPr>
          <w:p w14:paraId="725D148B" w14:textId="77777777" w:rsidR="00E91B42" w:rsidRPr="00871608" w:rsidRDefault="00E91B42" w:rsidP="00DF1262">
            <w:pPr>
              <w:rPr>
                <w:rFonts w:eastAsia="Calibri"/>
                <w:sz w:val="22"/>
                <w:szCs w:val="22"/>
                <w:lang w:eastAsia="en-GB"/>
              </w:rPr>
            </w:pPr>
            <w:r w:rsidRPr="00871608">
              <w:rPr>
                <w:rFonts w:eastAsia="Calibri"/>
                <w:sz w:val="22"/>
                <w:szCs w:val="22"/>
                <w:lang w:eastAsia="en-GB"/>
              </w:rPr>
              <w:t>Variations decisions affecting existing contracts</w:t>
            </w:r>
          </w:p>
          <w:p w14:paraId="77EA0B0F" w14:textId="77777777" w:rsidR="00E91B42" w:rsidRPr="00871608" w:rsidRDefault="00E91B42" w:rsidP="00DF1262">
            <w:pPr>
              <w:rPr>
                <w:rFonts w:eastAsia="Calibri"/>
                <w:sz w:val="22"/>
                <w:szCs w:val="22"/>
                <w:lang w:eastAsia="en-GB"/>
              </w:rPr>
            </w:pPr>
          </w:p>
        </w:tc>
      </w:tr>
    </w:tbl>
    <w:p w14:paraId="575EB043" w14:textId="77777777" w:rsidR="00E91B42" w:rsidRPr="000C3339" w:rsidRDefault="00E91B42" w:rsidP="00E91B42">
      <w:pPr>
        <w:rPr>
          <w:rFonts w:eastAsia="Calibri"/>
          <w:b/>
          <w:bCs/>
          <w:lang w:eastAsia="en-GB"/>
        </w:rPr>
      </w:pPr>
    </w:p>
    <w:p w14:paraId="669CD3F4" w14:textId="77777777" w:rsidR="00E91B42" w:rsidRPr="000C3339" w:rsidRDefault="00E91B42" w:rsidP="00E91B42">
      <w:pPr>
        <w:rPr>
          <w:u w:val="single"/>
        </w:rPr>
      </w:pPr>
      <w:r w:rsidRPr="000C3339">
        <w:rPr>
          <w:b/>
          <w:bCs/>
        </w:rPr>
        <w:t>DENTISTRY</w:t>
      </w:r>
    </w:p>
    <w:p w14:paraId="297C1AC6" w14:textId="77777777" w:rsidR="00E91B42" w:rsidRPr="000C3339" w:rsidRDefault="00E91B42" w:rsidP="00E91B42">
      <w:pPr>
        <w:rPr>
          <w:u w:val="single"/>
        </w:rPr>
      </w:pPr>
    </w:p>
    <w:tbl>
      <w:tblPr>
        <w:tblStyle w:val="TableGrid8"/>
        <w:tblW w:w="0" w:type="auto"/>
        <w:tblLook w:val="04A0" w:firstRow="1" w:lastRow="0" w:firstColumn="1" w:lastColumn="0" w:noHBand="0" w:noVBand="1"/>
      </w:tblPr>
      <w:tblGrid>
        <w:gridCol w:w="1384"/>
        <w:gridCol w:w="7632"/>
      </w:tblGrid>
      <w:tr w:rsidR="00E91B42" w:rsidRPr="000C3339" w14:paraId="146F62E0" w14:textId="77777777" w:rsidTr="00DF1262">
        <w:trPr>
          <w:tblHeader/>
        </w:trPr>
        <w:tc>
          <w:tcPr>
            <w:tcW w:w="1384" w:type="dxa"/>
          </w:tcPr>
          <w:p w14:paraId="191BDD52" w14:textId="77777777" w:rsidR="00E91B42" w:rsidRPr="000C3339" w:rsidRDefault="00E91B42" w:rsidP="00DF1262">
            <w:pPr>
              <w:rPr>
                <w:rFonts w:eastAsia="Calibri"/>
                <w:b/>
                <w:bCs/>
                <w:lang w:eastAsia="en-GB"/>
              </w:rPr>
            </w:pPr>
            <w:r w:rsidRPr="000C3339">
              <w:rPr>
                <w:rFonts w:eastAsia="Calibri"/>
                <w:b/>
                <w:bCs/>
                <w:lang w:eastAsia="en-GB"/>
              </w:rPr>
              <w:t>Reference</w:t>
            </w:r>
          </w:p>
          <w:p w14:paraId="5D065FE4" w14:textId="77777777" w:rsidR="00E91B42" w:rsidRPr="000C3339" w:rsidRDefault="00E91B42" w:rsidP="00DF1262">
            <w:pPr>
              <w:rPr>
                <w:rFonts w:eastAsia="Calibri"/>
                <w:b/>
                <w:bCs/>
                <w:lang w:eastAsia="en-GB"/>
              </w:rPr>
            </w:pPr>
          </w:p>
        </w:tc>
        <w:tc>
          <w:tcPr>
            <w:tcW w:w="7632" w:type="dxa"/>
          </w:tcPr>
          <w:p w14:paraId="58998425" w14:textId="77777777" w:rsidR="00E91B42" w:rsidRPr="000C3339" w:rsidRDefault="00E91B42" w:rsidP="00DF1262">
            <w:pPr>
              <w:rPr>
                <w:rFonts w:eastAsia="Calibri"/>
                <w:b/>
                <w:bCs/>
                <w:lang w:eastAsia="en-GB"/>
              </w:rPr>
            </w:pPr>
            <w:r w:rsidRPr="000C3339">
              <w:rPr>
                <w:rFonts w:eastAsia="Calibri"/>
                <w:b/>
                <w:bCs/>
                <w:lang w:eastAsia="en-GB"/>
              </w:rPr>
              <w:t>Delegation</w:t>
            </w:r>
          </w:p>
        </w:tc>
      </w:tr>
      <w:tr w:rsidR="00E91B42" w:rsidRPr="000C3339" w14:paraId="569A53F6" w14:textId="77777777" w:rsidTr="00DF1262">
        <w:tc>
          <w:tcPr>
            <w:tcW w:w="1384" w:type="dxa"/>
          </w:tcPr>
          <w:p w14:paraId="1030E047"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w:t>
            </w:r>
          </w:p>
        </w:tc>
        <w:tc>
          <w:tcPr>
            <w:tcW w:w="7632" w:type="dxa"/>
          </w:tcPr>
          <w:p w14:paraId="3E18C069" w14:textId="77777777" w:rsidR="00E91B42" w:rsidRPr="00871608" w:rsidRDefault="00E91B42" w:rsidP="00DF1262">
            <w:pPr>
              <w:rPr>
                <w:rFonts w:eastAsia="Calibri"/>
                <w:sz w:val="22"/>
                <w:szCs w:val="22"/>
                <w:lang w:eastAsia="en-GB"/>
              </w:rPr>
            </w:pPr>
            <w:r w:rsidRPr="00871608">
              <w:rPr>
                <w:rFonts w:eastAsia="Calibri"/>
                <w:sz w:val="22"/>
                <w:szCs w:val="22"/>
                <w:lang w:eastAsia="en-GB"/>
              </w:rPr>
              <w:t>Commissioning needs analysis for dental services</w:t>
            </w:r>
          </w:p>
        </w:tc>
      </w:tr>
      <w:tr w:rsidR="00E91B42" w:rsidRPr="000C3339" w14:paraId="70055432" w14:textId="77777777" w:rsidTr="00DF1262">
        <w:tc>
          <w:tcPr>
            <w:tcW w:w="1384" w:type="dxa"/>
          </w:tcPr>
          <w:p w14:paraId="7993D9B5"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2</w:t>
            </w:r>
          </w:p>
        </w:tc>
        <w:tc>
          <w:tcPr>
            <w:tcW w:w="7632" w:type="dxa"/>
          </w:tcPr>
          <w:p w14:paraId="3813F0B0"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Primary Care Audits - Assurance Framework </w:t>
            </w:r>
          </w:p>
        </w:tc>
      </w:tr>
      <w:tr w:rsidR="00E91B42" w:rsidRPr="000C3339" w14:paraId="0E1C49D6" w14:textId="77777777" w:rsidTr="00DF1262">
        <w:tc>
          <w:tcPr>
            <w:tcW w:w="1384" w:type="dxa"/>
          </w:tcPr>
          <w:p w14:paraId="177BEE37"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3</w:t>
            </w:r>
          </w:p>
        </w:tc>
        <w:tc>
          <w:tcPr>
            <w:tcW w:w="7632" w:type="dxa"/>
          </w:tcPr>
          <w:p w14:paraId="086E64C3"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Dental National &amp; Local Enhanced Services commissioning and contracting</w:t>
            </w:r>
          </w:p>
        </w:tc>
      </w:tr>
      <w:tr w:rsidR="00E91B42" w:rsidRPr="000C3339" w14:paraId="17B03FB1" w14:textId="77777777" w:rsidTr="00DF1262">
        <w:tc>
          <w:tcPr>
            <w:tcW w:w="1384" w:type="dxa"/>
          </w:tcPr>
          <w:p w14:paraId="6E4944AC"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4</w:t>
            </w:r>
          </w:p>
          <w:p w14:paraId="0BDC6197" w14:textId="77777777" w:rsidR="00E91B42" w:rsidRPr="00871608" w:rsidRDefault="00E91B42" w:rsidP="00DF1262">
            <w:pPr>
              <w:jc w:val="center"/>
              <w:rPr>
                <w:rFonts w:eastAsia="Calibri"/>
                <w:sz w:val="22"/>
                <w:szCs w:val="22"/>
                <w:lang w:eastAsia="en-GB"/>
              </w:rPr>
            </w:pPr>
          </w:p>
        </w:tc>
        <w:tc>
          <w:tcPr>
            <w:tcW w:w="7632" w:type="dxa"/>
          </w:tcPr>
          <w:p w14:paraId="20988EF0"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New dental contracts </w:t>
            </w:r>
          </w:p>
        </w:tc>
      </w:tr>
      <w:tr w:rsidR="00E91B42" w:rsidRPr="000C3339" w14:paraId="65528FB0" w14:textId="77777777" w:rsidTr="00DF1262">
        <w:tc>
          <w:tcPr>
            <w:tcW w:w="1384" w:type="dxa"/>
          </w:tcPr>
          <w:p w14:paraId="5F882D1C"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5</w:t>
            </w:r>
          </w:p>
        </w:tc>
        <w:tc>
          <w:tcPr>
            <w:tcW w:w="7632" w:type="dxa"/>
          </w:tcPr>
          <w:p w14:paraId="063773C7" w14:textId="77777777" w:rsidR="00E91B42" w:rsidRPr="00871608" w:rsidRDefault="00E91B42" w:rsidP="00DF1262">
            <w:pPr>
              <w:rPr>
                <w:rFonts w:eastAsia="Calibri"/>
                <w:sz w:val="22"/>
                <w:szCs w:val="22"/>
                <w:lang w:eastAsia="en-GB"/>
              </w:rPr>
            </w:pPr>
            <w:r w:rsidRPr="00871608">
              <w:rPr>
                <w:rFonts w:eastAsia="Calibri"/>
                <w:sz w:val="22"/>
                <w:szCs w:val="22"/>
                <w:lang w:eastAsia="en-GB"/>
              </w:rPr>
              <w:t>Variations decisions affecting existing contracts</w:t>
            </w:r>
          </w:p>
          <w:p w14:paraId="18613C4A" w14:textId="77777777" w:rsidR="00E91B42" w:rsidRPr="00871608" w:rsidRDefault="00E91B42" w:rsidP="00DF1262">
            <w:pPr>
              <w:rPr>
                <w:rFonts w:eastAsia="Calibri"/>
                <w:sz w:val="22"/>
                <w:szCs w:val="22"/>
                <w:lang w:eastAsia="en-GB"/>
              </w:rPr>
            </w:pPr>
          </w:p>
        </w:tc>
      </w:tr>
    </w:tbl>
    <w:p w14:paraId="2B5F449B" w14:textId="77777777" w:rsidR="00E91B42" w:rsidRPr="000C3339" w:rsidRDefault="00E91B42" w:rsidP="00E91B42">
      <w:pPr>
        <w:rPr>
          <w:rFonts w:eastAsia="Calibri"/>
          <w:lang w:eastAsia="en-GB"/>
        </w:rPr>
      </w:pPr>
    </w:p>
    <w:p w14:paraId="00D7B6D8" w14:textId="77777777" w:rsidR="00E91B42" w:rsidRPr="000C3339" w:rsidRDefault="00E91B42" w:rsidP="00E91B42">
      <w:pPr>
        <w:rPr>
          <w:u w:val="single"/>
        </w:rPr>
      </w:pPr>
      <w:r w:rsidRPr="000C3339">
        <w:rPr>
          <w:b/>
          <w:bCs/>
        </w:rPr>
        <w:t>PHARMACY</w:t>
      </w:r>
    </w:p>
    <w:p w14:paraId="6E8E2959" w14:textId="77777777" w:rsidR="00E91B42" w:rsidRPr="000C3339" w:rsidRDefault="00E91B42" w:rsidP="00E91B42">
      <w:pPr>
        <w:rPr>
          <w:u w:val="single"/>
        </w:rPr>
      </w:pPr>
    </w:p>
    <w:tbl>
      <w:tblPr>
        <w:tblStyle w:val="TableGrid8"/>
        <w:tblW w:w="0" w:type="auto"/>
        <w:tblLook w:val="04A0" w:firstRow="1" w:lastRow="0" w:firstColumn="1" w:lastColumn="0" w:noHBand="0" w:noVBand="1"/>
      </w:tblPr>
      <w:tblGrid>
        <w:gridCol w:w="1384"/>
        <w:gridCol w:w="7632"/>
      </w:tblGrid>
      <w:tr w:rsidR="00E91B42" w:rsidRPr="000C3339" w14:paraId="4E057BF5" w14:textId="77777777" w:rsidTr="00DF1262">
        <w:trPr>
          <w:tblHeader/>
        </w:trPr>
        <w:tc>
          <w:tcPr>
            <w:tcW w:w="1384" w:type="dxa"/>
          </w:tcPr>
          <w:p w14:paraId="5ED533F7" w14:textId="77777777" w:rsidR="00E91B42" w:rsidRPr="000C3339" w:rsidRDefault="00E91B42" w:rsidP="00DF1262">
            <w:pPr>
              <w:rPr>
                <w:rFonts w:eastAsia="Calibri"/>
                <w:b/>
                <w:bCs/>
                <w:lang w:eastAsia="en-GB"/>
              </w:rPr>
            </w:pPr>
            <w:r w:rsidRPr="000C3339">
              <w:rPr>
                <w:rFonts w:eastAsia="Calibri"/>
                <w:b/>
                <w:bCs/>
                <w:lang w:eastAsia="en-GB"/>
              </w:rPr>
              <w:t>Reference</w:t>
            </w:r>
          </w:p>
          <w:p w14:paraId="3437810B" w14:textId="77777777" w:rsidR="00E91B42" w:rsidRPr="000C3339" w:rsidRDefault="00E91B42" w:rsidP="00DF1262">
            <w:pPr>
              <w:rPr>
                <w:rFonts w:eastAsia="Calibri"/>
                <w:b/>
                <w:bCs/>
                <w:lang w:eastAsia="en-GB"/>
              </w:rPr>
            </w:pPr>
          </w:p>
        </w:tc>
        <w:tc>
          <w:tcPr>
            <w:tcW w:w="7632" w:type="dxa"/>
          </w:tcPr>
          <w:p w14:paraId="505E5591" w14:textId="77777777" w:rsidR="00E91B42" w:rsidRPr="000C3339" w:rsidRDefault="00E91B42" w:rsidP="00DF1262">
            <w:pPr>
              <w:rPr>
                <w:rFonts w:eastAsia="Calibri"/>
                <w:b/>
                <w:bCs/>
                <w:lang w:eastAsia="en-GB"/>
              </w:rPr>
            </w:pPr>
            <w:r w:rsidRPr="000C3339">
              <w:rPr>
                <w:rFonts w:eastAsia="Calibri"/>
                <w:b/>
                <w:bCs/>
                <w:lang w:eastAsia="en-GB"/>
              </w:rPr>
              <w:t>Delegation</w:t>
            </w:r>
          </w:p>
        </w:tc>
      </w:tr>
      <w:tr w:rsidR="00E91B42" w:rsidRPr="000C3339" w14:paraId="4786989E" w14:textId="77777777" w:rsidTr="00DF1262">
        <w:tc>
          <w:tcPr>
            <w:tcW w:w="1384" w:type="dxa"/>
          </w:tcPr>
          <w:p w14:paraId="43714F81"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w:t>
            </w:r>
          </w:p>
        </w:tc>
        <w:tc>
          <w:tcPr>
            <w:tcW w:w="7632" w:type="dxa"/>
          </w:tcPr>
          <w:p w14:paraId="6D03D81C" w14:textId="77777777" w:rsidR="00E91B42" w:rsidRPr="00871608" w:rsidRDefault="00E91B42" w:rsidP="00DF1262">
            <w:pPr>
              <w:rPr>
                <w:rFonts w:eastAsia="Calibri"/>
                <w:sz w:val="22"/>
                <w:szCs w:val="22"/>
                <w:lang w:eastAsia="en-GB"/>
              </w:rPr>
            </w:pPr>
            <w:r w:rsidRPr="00871608">
              <w:rPr>
                <w:rFonts w:eastAsia="Calibri"/>
                <w:sz w:val="22"/>
                <w:szCs w:val="22"/>
                <w:lang w:eastAsia="en-GB"/>
              </w:rPr>
              <w:t>Primary Care Audits- Community Pharmaceutical Assurance Framework (CPAF)</w:t>
            </w:r>
          </w:p>
        </w:tc>
      </w:tr>
      <w:tr w:rsidR="00E91B42" w:rsidRPr="000C3339" w14:paraId="2CF02334" w14:textId="77777777" w:rsidTr="00DF1262">
        <w:tc>
          <w:tcPr>
            <w:tcW w:w="1384" w:type="dxa"/>
          </w:tcPr>
          <w:p w14:paraId="1199B55A"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2</w:t>
            </w:r>
          </w:p>
        </w:tc>
        <w:tc>
          <w:tcPr>
            <w:tcW w:w="7632" w:type="dxa"/>
          </w:tcPr>
          <w:p w14:paraId="50CEE9E7" w14:textId="77777777" w:rsidR="00E91B42" w:rsidRPr="00871608" w:rsidRDefault="00E91B42" w:rsidP="00DF1262">
            <w:pPr>
              <w:rPr>
                <w:rFonts w:eastAsia="Calibri"/>
                <w:sz w:val="22"/>
                <w:szCs w:val="22"/>
                <w:lang w:eastAsia="en-GB"/>
              </w:rPr>
            </w:pPr>
            <w:r w:rsidRPr="00871608">
              <w:rPr>
                <w:rFonts w:eastAsia="Calibri"/>
                <w:sz w:val="22"/>
                <w:szCs w:val="22"/>
                <w:lang w:eastAsia="en-GB"/>
              </w:rPr>
              <w:t>Community Pharmacy National &amp; Local Enhanced Services commissioning and contracting</w:t>
            </w:r>
          </w:p>
        </w:tc>
      </w:tr>
      <w:tr w:rsidR="00E91B42" w:rsidRPr="000C3339" w14:paraId="4F3630D0" w14:textId="77777777" w:rsidTr="00DF1262">
        <w:tc>
          <w:tcPr>
            <w:tcW w:w="1384" w:type="dxa"/>
          </w:tcPr>
          <w:p w14:paraId="13834508"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3</w:t>
            </w:r>
          </w:p>
        </w:tc>
        <w:tc>
          <w:tcPr>
            <w:tcW w:w="7632" w:type="dxa"/>
          </w:tcPr>
          <w:p w14:paraId="2DFBEDCB" w14:textId="77777777" w:rsidR="00E91B42" w:rsidRPr="00871608" w:rsidRDefault="00E91B42" w:rsidP="00DF1262">
            <w:pPr>
              <w:rPr>
                <w:rFonts w:eastAsia="Calibri"/>
                <w:sz w:val="22"/>
                <w:szCs w:val="22"/>
                <w:lang w:eastAsia="en-GB"/>
              </w:rPr>
            </w:pPr>
            <w:r w:rsidRPr="00871608">
              <w:rPr>
                <w:rFonts w:eastAsia="Calibri"/>
                <w:sz w:val="22"/>
                <w:szCs w:val="22"/>
                <w:lang w:eastAsia="en-GB"/>
              </w:rPr>
              <w:t>Pharmacy Integration Fund decisions</w:t>
            </w:r>
          </w:p>
          <w:p w14:paraId="34DE4CD4" w14:textId="77777777" w:rsidR="00E91B42" w:rsidRPr="00871608" w:rsidRDefault="00E91B42" w:rsidP="00DF1262">
            <w:pPr>
              <w:rPr>
                <w:rFonts w:eastAsia="Calibri"/>
                <w:sz w:val="22"/>
                <w:szCs w:val="22"/>
                <w:lang w:eastAsia="en-GB"/>
              </w:rPr>
            </w:pPr>
          </w:p>
        </w:tc>
      </w:tr>
    </w:tbl>
    <w:p w14:paraId="6CFB868F" w14:textId="77777777" w:rsidR="00E91B42" w:rsidRPr="000C3339" w:rsidRDefault="00E91B42" w:rsidP="00E91B42">
      <w:pPr>
        <w:rPr>
          <w:rFonts w:eastAsia="Calibri"/>
          <w:b/>
          <w:bCs/>
          <w:u w:val="single"/>
          <w:lang w:eastAsia="en-GB"/>
        </w:rPr>
      </w:pPr>
    </w:p>
    <w:p w14:paraId="0866047A" w14:textId="77777777" w:rsidR="00E91B42" w:rsidRPr="000C3339" w:rsidRDefault="00E91B42" w:rsidP="00E91B42">
      <w:pPr>
        <w:rPr>
          <w:b/>
          <w:bCs/>
        </w:rPr>
      </w:pPr>
    </w:p>
    <w:p w14:paraId="4CC67EC8" w14:textId="77777777" w:rsidR="00E91B42" w:rsidRPr="000C3339" w:rsidRDefault="00E91B42" w:rsidP="00E91B42">
      <w:pPr>
        <w:rPr>
          <w:u w:val="single"/>
        </w:rPr>
      </w:pPr>
      <w:r w:rsidRPr="000C3339">
        <w:rPr>
          <w:b/>
          <w:bCs/>
        </w:rPr>
        <w:t xml:space="preserve">PRIMARY MEDICAL SERVICES </w:t>
      </w:r>
    </w:p>
    <w:p w14:paraId="75FA9CEA" w14:textId="77777777" w:rsidR="00E91B42" w:rsidRPr="000C3339" w:rsidRDefault="00E91B42" w:rsidP="00E91B42">
      <w:pPr>
        <w:rPr>
          <w:u w:val="single"/>
        </w:rPr>
      </w:pPr>
    </w:p>
    <w:tbl>
      <w:tblPr>
        <w:tblStyle w:val="TableGrid9"/>
        <w:tblW w:w="0" w:type="auto"/>
        <w:tblLook w:val="04A0" w:firstRow="1" w:lastRow="0" w:firstColumn="1" w:lastColumn="0" w:noHBand="0" w:noVBand="1"/>
      </w:tblPr>
      <w:tblGrid>
        <w:gridCol w:w="1384"/>
        <w:gridCol w:w="7632"/>
      </w:tblGrid>
      <w:tr w:rsidR="00E91B42" w:rsidRPr="000C3339" w14:paraId="71FDF40A" w14:textId="77777777" w:rsidTr="00DF1262">
        <w:trPr>
          <w:tblHeader/>
        </w:trPr>
        <w:tc>
          <w:tcPr>
            <w:tcW w:w="1384" w:type="dxa"/>
          </w:tcPr>
          <w:p w14:paraId="2A62AA2E" w14:textId="77777777" w:rsidR="00E91B42" w:rsidRPr="000C3339" w:rsidRDefault="00E91B42" w:rsidP="00DF1262">
            <w:pPr>
              <w:rPr>
                <w:rFonts w:eastAsia="Calibri"/>
                <w:b/>
                <w:bCs/>
                <w:lang w:eastAsia="en-GB"/>
              </w:rPr>
            </w:pPr>
            <w:r w:rsidRPr="000C3339">
              <w:rPr>
                <w:rFonts w:eastAsia="Calibri"/>
                <w:b/>
                <w:bCs/>
                <w:lang w:eastAsia="en-GB"/>
              </w:rPr>
              <w:t>Reference</w:t>
            </w:r>
          </w:p>
          <w:p w14:paraId="26277337" w14:textId="77777777" w:rsidR="00E91B42" w:rsidRPr="000C3339" w:rsidRDefault="00E91B42" w:rsidP="00DF1262">
            <w:pPr>
              <w:rPr>
                <w:rFonts w:eastAsia="Calibri"/>
                <w:b/>
                <w:bCs/>
                <w:lang w:eastAsia="en-GB"/>
              </w:rPr>
            </w:pPr>
          </w:p>
        </w:tc>
        <w:tc>
          <w:tcPr>
            <w:tcW w:w="7632" w:type="dxa"/>
          </w:tcPr>
          <w:p w14:paraId="527BC9EA" w14:textId="77777777" w:rsidR="00E91B42" w:rsidRPr="000C3339" w:rsidRDefault="00E91B42" w:rsidP="00DF1262">
            <w:pPr>
              <w:rPr>
                <w:rFonts w:eastAsia="Calibri"/>
                <w:b/>
                <w:bCs/>
                <w:lang w:eastAsia="en-GB"/>
              </w:rPr>
            </w:pPr>
            <w:r w:rsidRPr="000C3339">
              <w:rPr>
                <w:rFonts w:eastAsia="Calibri"/>
                <w:b/>
                <w:bCs/>
                <w:lang w:eastAsia="en-GB"/>
              </w:rPr>
              <w:t>Delegation</w:t>
            </w:r>
          </w:p>
        </w:tc>
      </w:tr>
      <w:tr w:rsidR="00E91B42" w:rsidRPr="000C3339" w14:paraId="0816BDF0" w14:textId="77777777" w:rsidTr="00DF1262">
        <w:tc>
          <w:tcPr>
            <w:tcW w:w="1384" w:type="dxa"/>
          </w:tcPr>
          <w:p w14:paraId="36882243"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w:t>
            </w:r>
          </w:p>
        </w:tc>
        <w:tc>
          <w:tcPr>
            <w:tcW w:w="7632" w:type="dxa"/>
          </w:tcPr>
          <w:p w14:paraId="1F973D48"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 to procure a new Primary Medical Services contract</w:t>
            </w:r>
            <w:r w:rsidRPr="00871608">
              <w:rPr>
                <w:rFonts w:eastAsia="Calibri"/>
                <w:sz w:val="22"/>
                <w:szCs w:val="22"/>
                <w:vertAlign w:val="superscript"/>
                <w:lang w:eastAsia="en-GB"/>
              </w:rPr>
              <w:t xml:space="preserve">1 </w:t>
            </w:r>
          </w:p>
        </w:tc>
      </w:tr>
      <w:tr w:rsidR="00E91B42" w:rsidRPr="000C3339" w14:paraId="3A832AB7" w14:textId="77777777" w:rsidTr="00DF1262">
        <w:tc>
          <w:tcPr>
            <w:tcW w:w="1384" w:type="dxa"/>
          </w:tcPr>
          <w:p w14:paraId="6B815E4D"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2</w:t>
            </w:r>
          </w:p>
        </w:tc>
        <w:tc>
          <w:tcPr>
            <w:tcW w:w="7632" w:type="dxa"/>
          </w:tcPr>
          <w:p w14:paraId="5D0BA010" w14:textId="77777777" w:rsidR="00E91B42" w:rsidRPr="00871608" w:rsidRDefault="00E91B42" w:rsidP="00DF1262">
            <w:pPr>
              <w:rPr>
                <w:rFonts w:eastAsia="Calibri"/>
                <w:sz w:val="22"/>
                <w:szCs w:val="22"/>
                <w:vertAlign w:val="superscript"/>
                <w:lang w:eastAsia="en-GB"/>
              </w:rPr>
            </w:pPr>
            <w:r w:rsidRPr="00871608">
              <w:rPr>
                <w:rFonts w:eastAsia="Calibri"/>
                <w:sz w:val="22"/>
                <w:szCs w:val="22"/>
                <w:lang w:eastAsia="en-GB"/>
              </w:rPr>
              <w:t>Decision to award (following procurement) of a new Primary Medical Services contract</w:t>
            </w:r>
            <w:r w:rsidRPr="00871608">
              <w:rPr>
                <w:rFonts w:eastAsia="Calibri"/>
                <w:sz w:val="22"/>
                <w:szCs w:val="22"/>
                <w:vertAlign w:val="superscript"/>
                <w:lang w:eastAsia="en-GB"/>
              </w:rPr>
              <w:t>1</w:t>
            </w:r>
          </w:p>
          <w:p w14:paraId="22087BD4" w14:textId="77777777" w:rsidR="00E91B42" w:rsidRPr="00871608" w:rsidRDefault="00E91B42" w:rsidP="00DF1262">
            <w:pPr>
              <w:rPr>
                <w:rFonts w:eastAsia="Calibri"/>
                <w:sz w:val="22"/>
                <w:szCs w:val="22"/>
                <w:lang w:eastAsia="en-GB"/>
              </w:rPr>
            </w:pPr>
          </w:p>
        </w:tc>
      </w:tr>
      <w:tr w:rsidR="00E91B42" w:rsidRPr="000C3339" w14:paraId="7442E9C7" w14:textId="77777777" w:rsidTr="00DF1262">
        <w:tc>
          <w:tcPr>
            <w:tcW w:w="1384" w:type="dxa"/>
          </w:tcPr>
          <w:p w14:paraId="550A78E2"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3</w:t>
            </w:r>
          </w:p>
        </w:tc>
        <w:tc>
          <w:tcPr>
            <w:tcW w:w="7632" w:type="dxa"/>
          </w:tcPr>
          <w:p w14:paraId="0DCC5E1B"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Interface and management of assurance to ICB Executive - ICB wide strategy development and delivery oversight </w:t>
            </w:r>
          </w:p>
        </w:tc>
      </w:tr>
      <w:tr w:rsidR="00E91B42" w:rsidRPr="000C3339" w14:paraId="0BB049F0" w14:textId="77777777" w:rsidTr="00DF1262">
        <w:tc>
          <w:tcPr>
            <w:tcW w:w="1384" w:type="dxa"/>
          </w:tcPr>
          <w:p w14:paraId="460F6B6F"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4</w:t>
            </w:r>
          </w:p>
        </w:tc>
        <w:tc>
          <w:tcPr>
            <w:tcW w:w="7632" w:type="dxa"/>
          </w:tcPr>
          <w:p w14:paraId="589949C7" w14:textId="77777777" w:rsidR="00E91B42" w:rsidRPr="00871608" w:rsidRDefault="00E91B42" w:rsidP="00DF1262">
            <w:pPr>
              <w:rPr>
                <w:rFonts w:eastAsia="Calibri"/>
                <w:sz w:val="22"/>
                <w:szCs w:val="22"/>
                <w:lang w:eastAsia="en-GB"/>
              </w:rPr>
            </w:pPr>
            <w:r w:rsidRPr="00871608">
              <w:rPr>
                <w:rFonts w:eastAsia="Calibri"/>
                <w:sz w:val="22"/>
                <w:szCs w:val="22"/>
                <w:lang w:eastAsia="en-GB"/>
              </w:rPr>
              <w:t>Govern and manage assurance of delegated commissioning from Place to ensure the ICB meets its duties in relation to delegation</w:t>
            </w:r>
          </w:p>
        </w:tc>
      </w:tr>
      <w:tr w:rsidR="00E91B42" w:rsidRPr="000C3339" w14:paraId="11B27462" w14:textId="77777777" w:rsidTr="00DF1262">
        <w:tc>
          <w:tcPr>
            <w:tcW w:w="1384" w:type="dxa"/>
          </w:tcPr>
          <w:p w14:paraId="05112C38"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5</w:t>
            </w:r>
          </w:p>
        </w:tc>
        <w:tc>
          <w:tcPr>
            <w:tcW w:w="7632" w:type="dxa"/>
          </w:tcPr>
          <w:p w14:paraId="7EDA2460"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Strategic oversight of Place operational planning, delivery and management in respect of Primary Medical Services </w:t>
            </w:r>
          </w:p>
        </w:tc>
      </w:tr>
      <w:tr w:rsidR="00E91B42" w:rsidRPr="000C3339" w14:paraId="28B85195" w14:textId="77777777" w:rsidTr="00DF1262">
        <w:tc>
          <w:tcPr>
            <w:tcW w:w="1384" w:type="dxa"/>
          </w:tcPr>
          <w:p w14:paraId="062790AC"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6</w:t>
            </w:r>
          </w:p>
        </w:tc>
        <w:tc>
          <w:tcPr>
            <w:tcW w:w="7632" w:type="dxa"/>
          </w:tcPr>
          <w:p w14:paraId="36E5CB62" w14:textId="77777777" w:rsidR="00E91B42" w:rsidRPr="00871608" w:rsidRDefault="00E91B42" w:rsidP="00DF1262">
            <w:pPr>
              <w:rPr>
                <w:rFonts w:eastAsia="Calibri"/>
                <w:sz w:val="22"/>
                <w:szCs w:val="22"/>
                <w:lang w:eastAsia="en-GB"/>
              </w:rPr>
            </w:pPr>
            <w:r w:rsidRPr="00871608">
              <w:rPr>
                <w:rFonts w:eastAsia="Calibri"/>
                <w:sz w:val="22"/>
                <w:szCs w:val="22"/>
                <w:lang w:eastAsia="en-GB"/>
              </w:rPr>
              <w:t>Interface and management of assurance to NHS E N&amp;Y region</w:t>
            </w:r>
          </w:p>
        </w:tc>
      </w:tr>
      <w:tr w:rsidR="00E91B42" w:rsidRPr="000C3339" w14:paraId="2DE0268C" w14:textId="77777777" w:rsidTr="00DF1262">
        <w:tc>
          <w:tcPr>
            <w:tcW w:w="1384" w:type="dxa"/>
          </w:tcPr>
          <w:p w14:paraId="421E98F2"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7</w:t>
            </w:r>
          </w:p>
        </w:tc>
        <w:tc>
          <w:tcPr>
            <w:tcW w:w="7632" w:type="dxa"/>
          </w:tcPr>
          <w:p w14:paraId="2ADE5142" w14:textId="77777777" w:rsidR="00E91B42" w:rsidRPr="00871608" w:rsidRDefault="00E91B42" w:rsidP="00DF1262">
            <w:pPr>
              <w:rPr>
                <w:rFonts w:eastAsia="Calibri"/>
                <w:sz w:val="22"/>
                <w:szCs w:val="22"/>
                <w:lang w:eastAsia="en-GB"/>
              </w:rPr>
            </w:pPr>
            <w:r w:rsidRPr="00871608">
              <w:rPr>
                <w:rFonts w:eastAsia="Calibri"/>
                <w:sz w:val="22"/>
                <w:szCs w:val="22"/>
                <w:lang w:eastAsia="en-GB"/>
              </w:rPr>
              <w:t>Clinical waste contract oversight (General Practice)</w:t>
            </w:r>
          </w:p>
        </w:tc>
      </w:tr>
      <w:tr w:rsidR="00E91B42" w:rsidRPr="000C3339" w14:paraId="37467E20" w14:textId="77777777" w:rsidTr="00DF1262">
        <w:tc>
          <w:tcPr>
            <w:tcW w:w="1384" w:type="dxa"/>
          </w:tcPr>
          <w:p w14:paraId="0B338CF9"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8</w:t>
            </w:r>
          </w:p>
        </w:tc>
        <w:tc>
          <w:tcPr>
            <w:tcW w:w="7632" w:type="dxa"/>
          </w:tcPr>
          <w:p w14:paraId="53B3E434" w14:textId="77777777" w:rsidR="00E91B42" w:rsidRPr="00871608" w:rsidRDefault="00E91B42" w:rsidP="00DF1262">
            <w:pPr>
              <w:rPr>
                <w:rFonts w:eastAsia="Calibri"/>
                <w:sz w:val="22"/>
                <w:szCs w:val="22"/>
                <w:lang w:eastAsia="en-GB"/>
              </w:rPr>
            </w:pPr>
            <w:r w:rsidRPr="00871608">
              <w:rPr>
                <w:rFonts w:eastAsia="Calibri"/>
                <w:sz w:val="22"/>
                <w:szCs w:val="22"/>
                <w:lang w:eastAsia="en-GB"/>
              </w:rPr>
              <w:t>National funding scheme development and oversight</w:t>
            </w:r>
          </w:p>
        </w:tc>
      </w:tr>
      <w:tr w:rsidR="00E91B42" w:rsidRPr="000C3339" w14:paraId="2C773DDA" w14:textId="77777777" w:rsidTr="00DF1262">
        <w:tc>
          <w:tcPr>
            <w:tcW w:w="1384" w:type="dxa"/>
          </w:tcPr>
          <w:p w14:paraId="2661664C"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9</w:t>
            </w:r>
          </w:p>
        </w:tc>
        <w:tc>
          <w:tcPr>
            <w:tcW w:w="7632" w:type="dxa"/>
          </w:tcPr>
          <w:p w14:paraId="019E2ED4" w14:textId="77777777" w:rsidR="00E91B42" w:rsidRPr="00871608" w:rsidRDefault="00E91B42" w:rsidP="00DF1262">
            <w:pPr>
              <w:rPr>
                <w:rFonts w:eastAsia="Calibri"/>
                <w:sz w:val="22"/>
                <w:szCs w:val="22"/>
                <w:lang w:eastAsia="en-GB"/>
              </w:rPr>
            </w:pPr>
            <w:r w:rsidRPr="00871608">
              <w:rPr>
                <w:rFonts w:eastAsia="Calibri"/>
                <w:sz w:val="22"/>
                <w:szCs w:val="22"/>
                <w:lang w:eastAsia="en-GB"/>
              </w:rPr>
              <w:t xml:space="preserve">Quality and Outcomes Framework (QOF) annual sign </w:t>
            </w:r>
            <w:proofErr w:type="gramStart"/>
            <w:r w:rsidRPr="00871608">
              <w:rPr>
                <w:rFonts w:eastAsia="Calibri"/>
                <w:sz w:val="22"/>
                <w:szCs w:val="22"/>
                <w:lang w:eastAsia="en-GB"/>
              </w:rPr>
              <w:t>off of</w:t>
            </w:r>
            <w:proofErr w:type="gramEnd"/>
            <w:r w:rsidRPr="00871608">
              <w:rPr>
                <w:rFonts w:eastAsia="Calibri"/>
                <w:sz w:val="22"/>
                <w:szCs w:val="22"/>
                <w:lang w:eastAsia="en-GB"/>
              </w:rPr>
              <w:t xml:space="preserve"> scheme and approval of payments</w:t>
            </w:r>
          </w:p>
        </w:tc>
      </w:tr>
      <w:tr w:rsidR="00E91B42" w:rsidRPr="000C3339" w14:paraId="308309D1" w14:textId="77777777" w:rsidTr="00DF1262">
        <w:tc>
          <w:tcPr>
            <w:tcW w:w="1384" w:type="dxa"/>
          </w:tcPr>
          <w:p w14:paraId="758CAEEF"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10</w:t>
            </w:r>
          </w:p>
        </w:tc>
        <w:tc>
          <w:tcPr>
            <w:tcW w:w="7632" w:type="dxa"/>
          </w:tcPr>
          <w:p w14:paraId="311FEAE4" w14:textId="77777777" w:rsidR="00E91B42" w:rsidRPr="00871608" w:rsidRDefault="00E91B42" w:rsidP="00DF1262">
            <w:pPr>
              <w:rPr>
                <w:rFonts w:eastAsia="Calibri"/>
                <w:sz w:val="22"/>
                <w:szCs w:val="22"/>
                <w:lang w:eastAsia="en-GB"/>
              </w:rPr>
            </w:pPr>
            <w:r w:rsidRPr="00871608">
              <w:rPr>
                <w:rFonts w:eastAsia="Calibri"/>
                <w:sz w:val="22"/>
                <w:szCs w:val="22"/>
                <w:lang w:eastAsia="en-GB"/>
              </w:rPr>
              <w:t>Manage the design (where applicable) and commissioning of any regional services, including re-commissioning these services annually where appropriate</w:t>
            </w:r>
          </w:p>
        </w:tc>
      </w:tr>
      <w:tr w:rsidR="00E91B42" w:rsidRPr="000C3339" w14:paraId="33681D75" w14:textId="77777777" w:rsidTr="00DF1262">
        <w:tc>
          <w:tcPr>
            <w:tcW w:w="1384" w:type="dxa"/>
          </w:tcPr>
          <w:p w14:paraId="2E1C5A5D"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lastRenderedPageBreak/>
              <w:t>11</w:t>
            </w:r>
          </w:p>
        </w:tc>
        <w:tc>
          <w:tcPr>
            <w:tcW w:w="7632" w:type="dxa"/>
          </w:tcPr>
          <w:p w14:paraId="10C3678C"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 making and budget management regarding primary care estates strategies and overarching revenue consequences</w:t>
            </w:r>
          </w:p>
        </w:tc>
      </w:tr>
      <w:tr w:rsidR="00E91B42" w:rsidRPr="000C3339" w14:paraId="4A48256F" w14:textId="77777777" w:rsidTr="00DF1262">
        <w:tc>
          <w:tcPr>
            <w:tcW w:w="1384" w:type="dxa"/>
          </w:tcPr>
          <w:p w14:paraId="3C3EE2CD"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12</w:t>
            </w:r>
          </w:p>
        </w:tc>
        <w:tc>
          <w:tcPr>
            <w:tcW w:w="7632" w:type="dxa"/>
          </w:tcPr>
          <w:p w14:paraId="538FAF62"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 making and budget management regarding primary care GPIT</w:t>
            </w:r>
          </w:p>
        </w:tc>
      </w:tr>
      <w:tr w:rsidR="00E91B42" w:rsidRPr="000C3339" w14:paraId="42A9F23B" w14:textId="77777777" w:rsidTr="00DF1262">
        <w:tc>
          <w:tcPr>
            <w:tcW w:w="1384" w:type="dxa"/>
          </w:tcPr>
          <w:p w14:paraId="4CD0DD34"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13</w:t>
            </w:r>
          </w:p>
        </w:tc>
        <w:tc>
          <w:tcPr>
            <w:tcW w:w="7632" w:type="dxa"/>
          </w:tcPr>
          <w:p w14:paraId="03C2F17B" w14:textId="77777777" w:rsidR="00E91B42" w:rsidRPr="00871608" w:rsidRDefault="00E91B42" w:rsidP="00DF1262">
            <w:pPr>
              <w:autoSpaceDE w:val="0"/>
              <w:autoSpaceDN w:val="0"/>
              <w:adjustRightInd w:val="0"/>
              <w:rPr>
                <w:rFonts w:eastAsia="Calibri"/>
                <w:sz w:val="22"/>
                <w:szCs w:val="22"/>
                <w:lang w:eastAsia="en-GB"/>
              </w:rPr>
            </w:pPr>
            <w:r w:rsidRPr="00871608">
              <w:rPr>
                <w:rFonts w:eastAsia="Calibri"/>
                <w:sz w:val="22"/>
                <w:szCs w:val="22"/>
                <w:lang w:eastAsia="en-GB"/>
              </w:rPr>
              <w:t xml:space="preserve">Revenue decisions relating to premises (affecting more than one Place) </w:t>
            </w:r>
          </w:p>
          <w:p w14:paraId="68B6AA23" w14:textId="77777777" w:rsidR="00E91B42" w:rsidRPr="00871608" w:rsidRDefault="00E91B42" w:rsidP="00DF1262">
            <w:pPr>
              <w:rPr>
                <w:rFonts w:eastAsia="Calibri"/>
                <w:sz w:val="22"/>
                <w:szCs w:val="22"/>
                <w:lang w:eastAsia="en-GB"/>
              </w:rPr>
            </w:pPr>
          </w:p>
        </w:tc>
      </w:tr>
      <w:tr w:rsidR="00E91B42" w:rsidRPr="000C3339" w14:paraId="337A7073" w14:textId="77777777" w:rsidTr="00DF1262">
        <w:tc>
          <w:tcPr>
            <w:tcW w:w="1384" w:type="dxa"/>
          </w:tcPr>
          <w:p w14:paraId="0CBEA265" w14:textId="77777777" w:rsidR="00E91B42" w:rsidRPr="00871608" w:rsidRDefault="00E91B42" w:rsidP="00DF1262">
            <w:pPr>
              <w:jc w:val="center"/>
              <w:rPr>
                <w:rFonts w:eastAsia="Calibri"/>
                <w:sz w:val="22"/>
                <w:szCs w:val="22"/>
                <w:lang w:eastAsia="en-GB"/>
              </w:rPr>
            </w:pPr>
            <w:r w:rsidRPr="00871608">
              <w:rPr>
                <w:rFonts w:eastAsia="Calibri"/>
                <w:sz w:val="22"/>
                <w:szCs w:val="22"/>
                <w:lang w:eastAsia="en-GB"/>
              </w:rPr>
              <w:t>14</w:t>
            </w:r>
          </w:p>
        </w:tc>
        <w:tc>
          <w:tcPr>
            <w:tcW w:w="7632" w:type="dxa"/>
          </w:tcPr>
          <w:p w14:paraId="0868B1D2" w14:textId="77777777" w:rsidR="00E91B42" w:rsidRPr="00871608" w:rsidRDefault="00E91B42" w:rsidP="00DF1262">
            <w:pPr>
              <w:rPr>
                <w:rFonts w:eastAsia="Calibri"/>
                <w:sz w:val="22"/>
                <w:szCs w:val="22"/>
                <w:lang w:eastAsia="en-GB"/>
              </w:rPr>
            </w:pPr>
            <w:r w:rsidRPr="00871608">
              <w:rPr>
                <w:rFonts w:eastAsia="Calibri"/>
                <w:sz w:val="22"/>
                <w:szCs w:val="22"/>
                <w:lang w:eastAsia="en-GB"/>
              </w:rPr>
              <w:t>Decisions escalated from Place where it exceeds financial limits and risk</w:t>
            </w:r>
          </w:p>
        </w:tc>
      </w:tr>
    </w:tbl>
    <w:p w14:paraId="7B38B73A" w14:textId="77777777" w:rsidR="00E91B42" w:rsidRPr="00075CE1" w:rsidRDefault="00E91B42" w:rsidP="00E91B42">
      <w:pPr>
        <w:rPr>
          <w:rFonts w:eastAsia="Calibri"/>
          <w:sz w:val="20"/>
          <w:szCs w:val="20"/>
          <w:u w:val="single"/>
          <w:lang w:eastAsia="en-GB"/>
        </w:rPr>
      </w:pPr>
      <w:r w:rsidRPr="00075CE1">
        <w:rPr>
          <w:rFonts w:eastAsia="Calibri"/>
          <w:sz w:val="20"/>
          <w:szCs w:val="20"/>
          <w:u w:val="single"/>
          <w:lang w:eastAsia="en-GB"/>
        </w:rPr>
        <w:t>Notes</w:t>
      </w:r>
    </w:p>
    <w:p w14:paraId="49DA28E7" w14:textId="77777777" w:rsidR="00E91B42" w:rsidRPr="00075CE1" w:rsidRDefault="00E91B42" w:rsidP="00E91B42">
      <w:pPr>
        <w:rPr>
          <w:rFonts w:eastAsia="Calibri"/>
          <w:sz w:val="20"/>
          <w:szCs w:val="20"/>
          <w:lang w:eastAsia="en-GB"/>
        </w:rPr>
      </w:pPr>
      <w:r w:rsidRPr="00075CE1">
        <w:rPr>
          <w:rFonts w:eastAsia="Calibri"/>
          <w:sz w:val="20"/>
          <w:szCs w:val="20"/>
          <w:vertAlign w:val="superscript"/>
          <w:lang w:eastAsia="en-GB"/>
        </w:rPr>
        <w:t>1</w:t>
      </w:r>
      <w:r w:rsidRPr="00075CE1">
        <w:rPr>
          <w:rFonts w:eastAsia="Calibri"/>
          <w:sz w:val="20"/>
          <w:szCs w:val="20"/>
          <w:lang w:eastAsia="en-GB"/>
        </w:rPr>
        <w:t xml:space="preserve"> For contracts up to </w:t>
      </w:r>
      <w:r>
        <w:rPr>
          <w:rFonts w:eastAsia="Calibri"/>
          <w:sz w:val="20"/>
          <w:szCs w:val="20"/>
          <w:lang w:eastAsia="en-GB"/>
        </w:rPr>
        <w:t>5</w:t>
      </w:r>
      <w:r w:rsidRPr="00075CE1">
        <w:rPr>
          <w:rFonts w:eastAsia="Calibri"/>
          <w:sz w:val="20"/>
          <w:szCs w:val="20"/>
          <w:lang w:eastAsia="en-GB"/>
        </w:rPr>
        <w:t xml:space="preserve"> years see Appendix 2a</w:t>
      </w:r>
      <w:r>
        <w:rPr>
          <w:rFonts w:eastAsia="Calibri"/>
          <w:sz w:val="20"/>
          <w:szCs w:val="20"/>
          <w:lang w:eastAsia="en-GB"/>
        </w:rPr>
        <w:t xml:space="preserve"> of SORD</w:t>
      </w:r>
      <w:r w:rsidRPr="00075CE1">
        <w:rPr>
          <w:rFonts w:eastAsia="Calibri"/>
          <w:sz w:val="20"/>
          <w:szCs w:val="20"/>
          <w:lang w:eastAsia="en-GB"/>
        </w:rPr>
        <w:t>.</w:t>
      </w:r>
    </w:p>
    <w:p w14:paraId="515FF112" w14:textId="77777777" w:rsidR="00E91B42" w:rsidRPr="00075CE1" w:rsidRDefault="00E91B42" w:rsidP="00E91B42">
      <w:pPr>
        <w:rPr>
          <w:rFonts w:eastAsia="Calibri"/>
          <w:sz w:val="20"/>
          <w:szCs w:val="20"/>
          <w:u w:val="single"/>
          <w:lang w:eastAsia="en-GB"/>
        </w:rPr>
      </w:pPr>
      <w:r w:rsidRPr="00075CE1">
        <w:rPr>
          <w:rFonts w:eastAsia="Calibri"/>
          <w:sz w:val="20"/>
          <w:szCs w:val="20"/>
          <w:u w:val="single"/>
          <w:lang w:eastAsia="en-GB"/>
        </w:rPr>
        <w:t>General Note</w:t>
      </w:r>
    </w:p>
    <w:p w14:paraId="68B0207E" w14:textId="77777777" w:rsidR="00E91B42" w:rsidRPr="00075CE1" w:rsidRDefault="00E91B42" w:rsidP="00E91B42">
      <w:pPr>
        <w:rPr>
          <w:rFonts w:eastAsia="Calibri"/>
          <w:sz w:val="20"/>
          <w:szCs w:val="20"/>
          <w:lang w:eastAsia="en-GB"/>
        </w:rPr>
      </w:pPr>
      <w:r w:rsidRPr="00075CE1">
        <w:rPr>
          <w:rFonts w:eastAsia="Calibri"/>
          <w:sz w:val="20"/>
          <w:szCs w:val="20"/>
          <w:lang w:eastAsia="en-GB"/>
        </w:rPr>
        <w:t>Any matter in relation to the primary medical delegated functions which is novel, contentious or repercussive must be referred to the ICB Chief Executive or Executive Director of Finance or ICB Chair (see Appendix 2a</w:t>
      </w:r>
      <w:r>
        <w:rPr>
          <w:rFonts w:eastAsia="Calibri"/>
          <w:sz w:val="20"/>
          <w:szCs w:val="20"/>
          <w:lang w:eastAsia="en-GB"/>
        </w:rPr>
        <w:t xml:space="preserve"> of SORD</w:t>
      </w:r>
      <w:r w:rsidRPr="00075CE1">
        <w:rPr>
          <w:rFonts w:eastAsia="Calibri"/>
          <w:sz w:val="20"/>
          <w:szCs w:val="20"/>
          <w:lang w:eastAsia="en-GB"/>
        </w:rPr>
        <w:t>)</w:t>
      </w:r>
    </w:p>
    <w:p w14:paraId="769C6CAE" w14:textId="77777777" w:rsidR="00E91B42" w:rsidRPr="007846B5" w:rsidRDefault="00E91B42" w:rsidP="003349B8">
      <w:pPr>
        <w:ind w:left="567"/>
        <w:rPr>
          <w:color w:val="000000" w:themeColor="text1"/>
          <w:sz w:val="22"/>
          <w:szCs w:val="22"/>
          <w:highlight w:val="yellow"/>
        </w:rPr>
      </w:pPr>
    </w:p>
    <w:p w14:paraId="6295125D"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30" w:name="_Toc129939311"/>
      <w:bookmarkStart w:id="31" w:name="_Toc129939478"/>
      <w:bookmarkStart w:id="32" w:name="_Toc129939771"/>
      <w:bookmarkStart w:id="33" w:name="_Toc129940152"/>
      <w:bookmarkStart w:id="34" w:name="_Toc131156874"/>
      <w:r w:rsidRPr="009A777F">
        <w:rPr>
          <w:rFonts w:eastAsiaTheme="majorEastAsia"/>
          <w:b/>
          <w:bCs/>
          <w:sz w:val="26"/>
          <w:szCs w:val="26"/>
        </w:rPr>
        <w:t>Authority</w:t>
      </w:r>
      <w:bookmarkEnd w:id="30"/>
      <w:bookmarkEnd w:id="31"/>
      <w:bookmarkEnd w:id="32"/>
      <w:bookmarkEnd w:id="33"/>
      <w:bookmarkEnd w:id="34"/>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3349B8" w:rsidRPr="007846B5" w14:paraId="54244F1A" w14:textId="77777777" w:rsidTr="00790E9D">
        <w:trPr>
          <w:trHeight w:val="536"/>
          <w:tblHeader/>
        </w:trPr>
        <w:tc>
          <w:tcPr>
            <w:tcW w:w="8936" w:type="dxa"/>
            <w:gridSpan w:val="2"/>
            <w:shd w:val="clear" w:color="auto" w:fill="EEECE1" w:themeFill="background2"/>
            <w:vAlign w:val="center"/>
          </w:tcPr>
          <w:p w14:paraId="0BEE684F" w14:textId="18B67099" w:rsidR="003349B8" w:rsidRPr="007846B5" w:rsidRDefault="003349B8" w:rsidP="00790E9D">
            <w:pPr>
              <w:ind w:right="2974"/>
              <w:rPr>
                <w:b/>
                <w:bCs/>
                <w:sz w:val="22"/>
                <w:szCs w:val="22"/>
              </w:rPr>
            </w:pPr>
            <w:r w:rsidRPr="007846B5">
              <w:rPr>
                <w:b/>
                <w:bCs/>
                <w:sz w:val="22"/>
                <w:szCs w:val="22"/>
              </w:rPr>
              <w:t xml:space="preserve">The </w:t>
            </w:r>
            <w:r>
              <w:rPr>
                <w:b/>
                <w:bCs/>
                <w:sz w:val="22"/>
                <w:szCs w:val="22"/>
              </w:rPr>
              <w:t>subcommittee</w:t>
            </w:r>
            <w:r w:rsidRPr="007846B5">
              <w:rPr>
                <w:b/>
                <w:bCs/>
                <w:sz w:val="22"/>
                <w:szCs w:val="22"/>
              </w:rPr>
              <w:t xml:space="preserve"> is authorised to:</w:t>
            </w:r>
          </w:p>
        </w:tc>
      </w:tr>
      <w:tr w:rsidR="00E91B42" w:rsidRPr="007846B5" w14:paraId="7369024E" w14:textId="77777777" w:rsidTr="00790E9D">
        <w:tc>
          <w:tcPr>
            <w:tcW w:w="2699" w:type="dxa"/>
          </w:tcPr>
          <w:p w14:paraId="0FFB7F53" w14:textId="77777777" w:rsidR="00E91B42" w:rsidRPr="007846B5" w:rsidRDefault="00E91B42" w:rsidP="00E91B42">
            <w:pPr>
              <w:ind w:right="-397"/>
              <w:rPr>
                <w:b/>
                <w:bCs/>
                <w:sz w:val="22"/>
                <w:szCs w:val="22"/>
              </w:rPr>
            </w:pPr>
            <w:r w:rsidRPr="007846B5">
              <w:rPr>
                <w:b/>
                <w:bCs/>
                <w:sz w:val="22"/>
                <w:szCs w:val="22"/>
              </w:rPr>
              <w:t>Investigate</w:t>
            </w:r>
          </w:p>
        </w:tc>
        <w:tc>
          <w:tcPr>
            <w:tcW w:w="6237" w:type="dxa"/>
          </w:tcPr>
          <w:p w14:paraId="5D391617" w14:textId="77777777" w:rsidR="00E91B42" w:rsidRPr="007846B5" w:rsidRDefault="00E91B42" w:rsidP="00E91B42">
            <w:pPr>
              <w:ind w:right="179"/>
              <w:rPr>
                <w:sz w:val="22"/>
                <w:szCs w:val="22"/>
              </w:rPr>
            </w:pPr>
            <w:r w:rsidRPr="007846B5">
              <w:rPr>
                <w:sz w:val="22"/>
                <w:szCs w:val="22"/>
              </w:rPr>
              <w:t>Investigate any activity within its terms of reference.</w:t>
            </w:r>
          </w:p>
          <w:p w14:paraId="2AF4262B" w14:textId="77777777" w:rsidR="00E91B42" w:rsidRPr="007846B5" w:rsidRDefault="00E91B42" w:rsidP="00E91B42">
            <w:pPr>
              <w:ind w:right="179"/>
              <w:rPr>
                <w:sz w:val="22"/>
                <w:szCs w:val="22"/>
              </w:rPr>
            </w:pPr>
          </w:p>
        </w:tc>
      </w:tr>
      <w:tr w:rsidR="00E91B42" w:rsidRPr="007846B5" w14:paraId="0A4306E9" w14:textId="77777777" w:rsidTr="00790E9D">
        <w:tc>
          <w:tcPr>
            <w:tcW w:w="2699" w:type="dxa"/>
          </w:tcPr>
          <w:p w14:paraId="1E8A5D81" w14:textId="77777777" w:rsidR="00E91B42" w:rsidRPr="007846B5" w:rsidRDefault="00E91B42" w:rsidP="00E91B42">
            <w:pPr>
              <w:ind w:right="-397"/>
              <w:rPr>
                <w:b/>
                <w:bCs/>
                <w:sz w:val="22"/>
                <w:szCs w:val="22"/>
              </w:rPr>
            </w:pPr>
            <w:r w:rsidRPr="007846B5">
              <w:rPr>
                <w:b/>
                <w:bCs/>
                <w:sz w:val="22"/>
                <w:szCs w:val="22"/>
              </w:rPr>
              <w:t>Seek information</w:t>
            </w:r>
          </w:p>
        </w:tc>
        <w:tc>
          <w:tcPr>
            <w:tcW w:w="6237" w:type="dxa"/>
          </w:tcPr>
          <w:p w14:paraId="7211495E" w14:textId="77777777" w:rsidR="00E91B42" w:rsidRPr="007846B5" w:rsidRDefault="00E91B42" w:rsidP="00E91B42">
            <w:pPr>
              <w:ind w:right="179"/>
              <w:rPr>
                <w:sz w:val="22"/>
                <w:szCs w:val="22"/>
              </w:rPr>
            </w:pPr>
            <w:r w:rsidRPr="007846B5">
              <w:rPr>
                <w:sz w:val="22"/>
                <w:szCs w:val="22"/>
              </w:rPr>
              <w:t>Seek any information it requires within its remit, from any employee or member of the Board.</w:t>
            </w:r>
          </w:p>
          <w:p w14:paraId="3C46FC1F" w14:textId="77777777" w:rsidR="00E91B42" w:rsidRPr="007846B5" w:rsidRDefault="00E91B42" w:rsidP="00E91B42">
            <w:pPr>
              <w:ind w:right="179"/>
              <w:rPr>
                <w:sz w:val="22"/>
                <w:szCs w:val="22"/>
              </w:rPr>
            </w:pPr>
          </w:p>
        </w:tc>
      </w:tr>
      <w:tr w:rsidR="00E91B42" w:rsidRPr="007846B5" w14:paraId="214A6B1A" w14:textId="77777777" w:rsidTr="00790E9D">
        <w:tc>
          <w:tcPr>
            <w:tcW w:w="2699" w:type="dxa"/>
          </w:tcPr>
          <w:p w14:paraId="486CBD5C" w14:textId="77777777" w:rsidR="00E91B42" w:rsidRPr="007846B5" w:rsidRDefault="00E91B42" w:rsidP="00E91B42">
            <w:pPr>
              <w:ind w:right="-397"/>
              <w:rPr>
                <w:b/>
                <w:bCs/>
                <w:sz w:val="22"/>
                <w:szCs w:val="22"/>
              </w:rPr>
            </w:pPr>
            <w:r w:rsidRPr="007846B5">
              <w:rPr>
                <w:b/>
                <w:bCs/>
                <w:sz w:val="22"/>
                <w:szCs w:val="22"/>
              </w:rPr>
              <w:t>Investigate</w:t>
            </w:r>
          </w:p>
        </w:tc>
        <w:tc>
          <w:tcPr>
            <w:tcW w:w="6237" w:type="dxa"/>
          </w:tcPr>
          <w:p w14:paraId="1C389343" w14:textId="77777777" w:rsidR="00E91B42" w:rsidRPr="007846B5" w:rsidRDefault="00E91B42" w:rsidP="00E91B42">
            <w:pPr>
              <w:ind w:right="179"/>
              <w:rPr>
                <w:sz w:val="22"/>
                <w:szCs w:val="22"/>
              </w:rPr>
            </w:pPr>
            <w:r w:rsidRPr="007846B5">
              <w:rPr>
                <w:sz w:val="22"/>
                <w:szCs w:val="22"/>
              </w:rPr>
              <w:t>Commission reports required to help fulfil its obligations from NECS.</w:t>
            </w:r>
          </w:p>
          <w:p w14:paraId="41762B69" w14:textId="77777777" w:rsidR="00E91B42" w:rsidRPr="007846B5" w:rsidRDefault="00E91B42" w:rsidP="00E91B42">
            <w:pPr>
              <w:ind w:right="179"/>
              <w:rPr>
                <w:sz w:val="22"/>
                <w:szCs w:val="22"/>
              </w:rPr>
            </w:pPr>
          </w:p>
          <w:p w14:paraId="6D6C2C37" w14:textId="77777777" w:rsidR="00E91B42" w:rsidRPr="007846B5" w:rsidRDefault="00E91B42" w:rsidP="00E91B42">
            <w:pPr>
              <w:ind w:right="179"/>
              <w:rPr>
                <w:sz w:val="22"/>
                <w:szCs w:val="22"/>
              </w:rPr>
            </w:pPr>
            <w:r w:rsidRPr="007846B5">
              <w:rPr>
                <w:sz w:val="22"/>
                <w:szCs w:val="22"/>
              </w:rPr>
              <w:t xml:space="preserve">Commission reports required to help fulfil its obligations from Audit One or the ICB's external auditors, in consultation with the </w:t>
            </w:r>
            <w:r>
              <w:rPr>
                <w:sz w:val="22"/>
                <w:szCs w:val="22"/>
              </w:rPr>
              <w:t>Chief Finance Officer</w:t>
            </w:r>
            <w:r w:rsidRPr="007846B5">
              <w:rPr>
                <w:sz w:val="22"/>
                <w:szCs w:val="22"/>
              </w:rPr>
              <w:t>.</w:t>
            </w:r>
          </w:p>
          <w:p w14:paraId="69E92859" w14:textId="77777777" w:rsidR="00E91B42" w:rsidRPr="007846B5" w:rsidRDefault="00E91B42" w:rsidP="00E91B42">
            <w:pPr>
              <w:ind w:right="179"/>
              <w:rPr>
                <w:sz w:val="22"/>
                <w:szCs w:val="22"/>
              </w:rPr>
            </w:pPr>
          </w:p>
          <w:p w14:paraId="30BDCD9A" w14:textId="77777777" w:rsidR="00E91B42" w:rsidRPr="007846B5" w:rsidRDefault="00E91B42" w:rsidP="00E91B42">
            <w:pPr>
              <w:ind w:right="179"/>
              <w:rPr>
                <w:sz w:val="22"/>
                <w:szCs w:val="22"/>
              </w:rPr>
            </w:pPr>
            <w:r w:rsidRPr="007846B5">
              <w:rPr>
                <w:sz w:val="22"/>
                <w:szCs w:val="22"/>
              </w:rPr>
              <w:t xml:space="preserve">Commission other external reports required to help fulfil its obligations, subject to the financial limits of the most senior member of the </w:t>
            </w:r>
            <w:r>
              <w:rPr>
                <w:sz w:val="22"/>
                <w:szCs w:val="22"/>
              </w:rPr>
              <w:t>Subcommittee.</w:t>
            </w:r>
            <w:r w:rsidRPr="007846B5">
              <w:rPr>
                <w:sz w:val="22"/>
                <w:szCs w:val="22"/>
              </w:rPr>
              <w:t xml:space="preserve">  </w:t>
            </w:r>
          </w:p>
          <w:p w14:paraId="2D6F48D9" w14:textId="77777777" w:rsidR="00E91B42" w:rsidRPr="007846B5" w:rsidRDefault="00E91B42" w:rsidP="00E91B42">
            <w:pPr>
              <w:ind w:right="179"/>
              <w:rPr>
                <w:sz w:val="22"/>
                <w:szCs w:val="22"/>
                <w:highlight w:val="yellow"/>
              </w:rPr>
            </w:pPr>
          </w:p>
        </w:tc>
      </w:tr>
      <w:tr w:rsidR="00E91B42" w:rsidRPr="007846B5" w14:paraId="0EA5DD55" w14:textId="77777777" w:rsidTr="00790E9D">
        <w:tc>
          <w:tcPr>
            <w:tcW w:w="2699" w:type="dxa"/>
          </w:tcPr>
          <w:p w14:paraId="3EFB75C0" w14:textId="77777777" w:rsidR="00E91B42" w:rsidRPr="007846B5" w:rsidRDefault="00E91B42" w:rsidP="00E91B42">
            <w:pPr>
              <w:ind w:right="-397"/>
              <w:rPr>
                <w:b/>
                <w:bCs/>
                <w:sz w:val="22"/>
                <w:szCs w:val="22"/>
              </w:rPr>
            </w:pPr>
            <w:r w:rsidRPr="007846B5">
              <w:rPr>
                <w:b/>
                <w:bCs/>
                <w:sz w:val="22"/>
                <w:szCs w:val="22"/>
              </w:rPr>
              <w:t>Obtain advice</w:t>
            </w:r>
          </w:p>
        </w:tc>
        <w:tc>
          <w:tcPr>
            <w:tcW w:w="6237" w:type="dxa"/>
          </w:tcPr>
          <w:p w14:paraId="7C855CAA" w14:textId="77777777" w:rsidR="00E91B42" w:rsidRPr="007846B5" w:rsidRDefault="00E91B42" w:rsidP="00E91B42">
            <w:pPr>
              <w:ind w:right="179"/>
              <w:rPr>
                <w:sz w:val="22"/>
                <w:szCs w:val="22"/>
              </w:rPr>
            </w:pPr>
            <w:r w:rsidRPr="007846B5">
              <w:rPr>
                <w:sz w:val="22"/>
                <w:szCs w:val="22"/>
              </w:rPr>
              <w:t xml:space="preserve">Obtain independent professional advice and secure the attendance of advisors with relevant expertise to fulfil its functions.  In doing so, the </w:t>
            </w:r>
            <w:r>
              <w:rPr>
                <w:sz w:val="22"/>
                <w:szCs w:val="22"/>
              </w:rPr>
              <w:t xml:space="preserve">Subcommittee </w:t>
            </w:r>
            <w:r w:rsidRPr="007846B5">
              <w:rPr>
                <w:sz w:val="22"/>
                <w:szCs w:val="22"/>
              </w:rPr>
              <w:t>must follow any procedures put in place by the ICB for obtaining professional advice.</w:t>
            </w:r>
          </w:p>
          <w:p w14:paraId="07E8F258" w14:textId="77777777" w:rsidR="00E91B42" w:rsidRPr="007846B5" w:rsidRDefault="00E91B42" w:rsidP="00E91B42">
            <w:pPr>
              <w:ind w:right="179"/>
              <w:rPr>
                <w:sz w:val="22"/>
                <w:szCs w:val="22"/>
                <w:highlight w:val="yellow"/>
              </w:rPr>
            </w:pPr>
          </w:p>
        </w:tc>
      </w:tr>
      <w:tr w:rsidR="003349B8" w:rsidRPr="007846B5" w14:paraId="5FCC40FE" w14:textId="77777777" w:rsidTr="00790E9D">
        <w:tc>
          <w:tcPr>
            <w:tcW w:w="2699" w:type="dxa"/>
          </w:tcPr>
          <w:p w14:paraId="0C28C4AC" w14:textId="77777777" w:rsidR="003349B8" w:rsidRPr="007846B5" w:rsidRDefault="003349B8" w:rsidP="00790E9D">
            <w:pPr>
              <w:ind w:right="-397"/>
              <w:rPr>
                <w:b/>
                <w:bCs/>
                <w:sz w:val="22"/>
                <w:szCs w:val="22"/>
              </w:rPr>
            </w:pPr>
            <w:r w:rsidRPr="007846B5">
              <w:rPr>
                <w:b/>
                <w:bCs/>
                <w:sz w:val="22"/>
                <w:szCs w:val="22"/>
              </w:rPr>
              <w:t>Create Groups</w:t>
            </w:r>
          </w:p>
        </w:tc>
        <w:tc>
          <w:tcPr>
            <w:tcW w:w="6237" w:type="dxa"/>
          </w:tcPr>
          <w:p w14:paraId="47BD3F82" w14:textId="77777777" w:rsidR="00E91B42" w:rsidRPr="007846B5" w:rsidRDefault="00E91B42" w:rsidP="00E91B42">
            <w:pPr>
              <w:tabs>
                <w:tab w:val="left" w:pos="851"/>
              </w:tabs>
              <w:ind w:right="193"/>
              <w:rPr>
                <w:sz w:val="22"/>
                <w:szCs w:val="22"/>
              </w:rPr>
            </w:pPr>
            <w:r w:rsidRPr="007846B5">
              <w:rPr>
                <w:sz w:val="22"/>
                <w:szCs w:val="22"/>
              </w:rPr>
              <w:t xml:space="preserve">Groups may be established by the </w:t>
            </w:r>
            <w:r>
              <w:rPr>
                <w:sz w:val="22"/>
                <w:szCs w:val="22"/>
              </w:rPr>
              <w:t>Subcommittee</w:t>
            </w:r>
            <w:r w:rsidRPr="007846B5">
              <w:rPr>
                <w:sz w:val="22"/>
                <w:szCs w:val="22"/>
              </w:rPr>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1013B9D1" w14:textId="77777777" w:rsidR="003349B8" w:rsidRPr="007846B5" w:rsidRDefault="003349B8" w:rsidP="00790E9D">
            <w:pPr>
              <w:ind w:right="181"/>
              <w:rPr>
                <w:sz w:val="22"/>
                <w:szCs w:val="22"/>
              </w:rPr>
            </w:pPr>
          </w:p>
        </w:tc>
      </w:tr>
    </w:tbl>
    <w:p w14:paraId="39E647B6"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35" w:name="_Toc120720209"/>
      <w:bookmarkStart w:id="36" w:name="_Toc120720561"/>
      <w:bookmarkStart w:id="37" w:name="_Toc129939312"/>
      <w:bookmarkStart w:id="38" w:name="_Toc129939479"/>
      <w:bookmarkStart w:id="39" w:name="_Toc129939772"/>
      <w:bookmarkStart w:id="40" w:name="_Toc129940153"/>
      <w:bookmarkStart w:id="41" w:name="_Toc131156875"/>
      <w:r w:rsidRPr="009A777F">
        <w:rPr>
          <w:rFonts w:eastAsiaTheme="majorEastAsia"/>
          <w:b/>
          <w:bCs/>
          <w:sz w:val="26"/>
          <w:szCs w:val="26"/>
        </w:rPr>
        <w:t>Delegation by Scheme of Reservation &amp; Delegation (</w:t>
      </w:r>
      <w:proofErr w:type="spellStart"/>
      <w:r w:rsidRPr="009A777F">
        <w:rPr>
          <w:rFonts w:eastAsiaTheme="majorEastAsia"/>
          <w:b/>
          <w:bCs/>
          <w:sz w:val="26"/>
          <w:szCs w:val="26"/>
        </w:rPr>
        <w:t>SoRD</w:t>
      </w:r>
      <w:proofErr w:type="spellEnd"/>
      <w:r w:rsidRPr="009A777F">
        <w:rPr>
          <w:rFonts w:eastAsiaTheme="majorEastAsia"/>
          <w:b/>
          <w:bCs/>
          <w:sz w:val="26"/>
          <w:szCs w:val="26"/>
        </w:rPr>
        <w:t>)</w:t>
      </w:r>
      <w:bookmarkEnd w:id="35"/>
      <w:bookmarkEnd w:id="36"/>
      <w:bookmarkEnd w:id="37"/>
      <w:bookmarkEnd w:id="38"/>
      <w:bookmarkEnd w:id="39"/>
      <w:bookmarkEnd w:id="40"/>
      <w:bookmarkEnd w:id="41"/>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3349B8" w:rsidRPr="007846B5" w14:paraId="5BEB6974" w14:textId="77777777" w:rsidTr="00790E9D">
        <w:trPr>
          <w:trHeight w:val="432"/>
        </w:trPr>
        <w:tc>
          <w:tcPr>
            <w:tcW w:w="8931" w:type="dxa"/>
            <w:shd w:val="clear" w:color="auto" w:fill="E7E6E6"/>
            <w:vAlign w:val="center"/>
          </w:tcPr>
          <w:p w14:paraId="5259D91F" w14:textId="77777777" w:rsidR="003349B8" w:rsidRPr="007846B5" w:rsidRDefault="003349B8" w:rsidP="00790E9D">
            <w:pPr>
              <w:ind w:right="179"/>
              <w:rPr>
                <w:rFonts w:eastAsia="Calibri"/>
                <w:b/>
                <w:bCs/>
                <w:color w:val="FFFFFF"/>
              </w:rPr>
            </w:pPr>
            <w:r w:rsidRPr="007846B5">
              <w:rPr>
                <w:rFonts w:eastAsia="Calibri"/>
                <w:b/>
                <w:bCs/>
                <w:color w:val="000000"/>
                <w:sz w:val="22"/>
                <w:szCs w:val="22"/>
              </w:rPr>
              <w:lastRenderedPageBreak/>
              <w:t>Decisions Delegated by the Scheme of Reservation &amp; Delegation</w:t>
            </w:r>
          </w:p>
        </w:tc>
      </w:tr>
      <w:tr w:rsidR="003349B8" w:rsidRPr="007846B5" w14:paraId="447AAA21" w14:textId="77777777" w:rsidTr="00871608">
        <w:trPr>
          <w:trHeight w:val="58"/>
        </w:trPr>
        <w:tc>
          <w:tcPr>
            <w:tcW w:w="8931" w:type="dxa"/>
            <w:vAlign w:val="center"/>
          </w:tcPr>
          <w:tbl>
            <w:tblPr>
              <w:tblStyle w:val="TableGrid5"/>
              <w:tblW w:w="5000" w:type="pct"/>
              <w:tblLayout w:type="fixed"/>
              <w:tblLook w:val="04A0" w:firstRow="1" w:lastRow="0" w:firstColumn="1" w:lastColumn="0" w:noHBand="0" w:noVBand="1"/>
            </w:tblPr>
            <w:tblGrid>
              <w:gridCol w:w="1598"/>
              <w:gridCol w:w="7107"/>
            </w:tblGrid>
            <w:tr w:rsidR="00E91B42" w:rsidRPr="007846B5" w14:paraId="1E123A81" w14:textId="77777777" w:rsidTr="00DF1262">
              <w:trPr>
                <w:trHeight w:val="446"/>
              </w:trPr>
              <w:tc>
                <w:tcPr>
                  <w:tcW w:w="918" w:type="pct"/>
                  <w:vAlign w:val="center"/>
                </w:tcPr>
                <w:p w14:paraId="709374DD" w14:textId="77777777" w:rsidR="00E91B42" w:rsidRPr="00871608" w:rsidRDefault="00E91B42" w:rsidP="00E91B42">
                  <w:pPr>
                    <w:spacing w:before="120" w:after="120"/>
                    <w:ind w:left="720"/>
                    <w:rPr>
                      <w:rFonts w:eastAsia="Calibri"/>
                      <w:color w:val="000000"/>
                      <w:sz w:val="22"/>
                      <w:szCs w:val="22"/>
                      <w:highlight w:val="yellow"/>
                      <w:lang w:eastAsia="en-GB"/>
                    </w:rPr>
                  </w:pPr>
                  <w:r w:rsidRPr="00871608">
                    <w:rPr>
                      <w:sz w:val="22"/>
                      <w:szCs w:val="22"/>
                    </w:rPr>
                    <w:t>1</w:t>
                  </w:r>
                </w:p>
              </w:tc>
              <w:tc>
                <w:tcPr>
                  <w:tcW w:w="4082" w:type="pct"/>
                  <w:vAlign w:val="center"/>
                </w:tcPr>
                <w:p w14:paraId="63F73752" w14:textId="77777777" w:rsidR="00E91B42" w:rsidRPr="00871608" w:rsidRDefault="00E91B42" w:rsidP="00E91B42">
                  <w:pPr>
                    <w:spacing w:before="120" w:after="120"/>
                    <w:ind w:left="720"/>
                    <w:rPr>
                      <w:rFonts w:eastAsia="Calibri"/>
                      <w:color w:val="000000"/>
                      <w:sz w:val="22"/>
                      <w:szCs w:val="22"/>
                      <w:highlight w:val="yellow"/>
                      <w:lang w:eastAsia="en-GB"/>
                    </w:rPr>
                  </w:pPr>
                  <w:r w:rsidRPr="00871608">
                    <w:rPr>
                      <w:sz w:val="22"/>
                      <w:szCs w:val="22"/>
                    </w:rPr>
                    <w:t>Decision to procure a new Primary Medical Services contract</w:t>
                  </w:r>
                  <w:r w:rsidRPr="00871608">
                    <w:rPr>
                      <w:sz w:val="22"/>
                      <w:szCs w:val="22"/>
                      <w:vertAlign w:val="superscript"/>
                    </w:rPr>
                    <w:t xml:space="preserve">1 </w:t>
                  </w:r>
                </w:p>
              </w:tc>
            </w:tr>
            <w:tr w:rsidR="00E91B42" w:rsidRPr="007846B5" w14:paraId="2A0D282D" w14:textId="77777777" w:rsidTr="00DF1262">
              <w:trPr>
                <w:trHeight w:val="446"/>
              </w:trPr>
              <w:tc>
                <w:tcPr>
                  <w:tcW w:w="918" w:type="pct"/>
                  <w:vAlign w:val="center"/>
                </w:tcPr>
                <w:p w14:paraId="3C5B280D" w14:textId="77777777" w:rsidR="00E91B42" w:rsidRPr="00871608" w:rsidRDefault="00E91B42" w:rsidP="00E91B42">
                  <w:pPr>
                    <w:spacing w:before="120" w:after="120"/>
                    <w:ind w:left="720"/>
                    <w:rPr>
                      <w:sz w:val="22"/>
                      <w:szCs w:val="22"/>
                    </w:rPr>
                  </w:pPr>
                  <w:r w:rsidRPr="00871608">
                    <w:rPr>
                      <w:sz w:val="22"/>
                      <w:szCs w:val="22"/>
                    </w:rPr>
                    <w:t>2</w:t>
                  </w:r>
                </w:p>
              </w:tc>
              <w:tc>
                <w:tcPr>
                  <w:tcW w:w="4082" w:type="pct"/>
                  <w:vAlign w:val="center"/>
                </w:tcPr>
                <w:p w14:paraId="101C559D" w14:textId="77777777" w:rsidR="00E91B42" w:rsidRPr="00871608" w:rsidRDefault="00E91B42" w:rsidP="00E91B42">
                  <w:pPr>
                    <w:spacing w:before="120" w:after="120"/>
                    <w:ind w:left="720"/>
                    <w:rPr>
                      <w:sz w:val="22"/>
                      <w:szCs w:val="22"/>
                    </w:rPr>
                  </w:pPr>
                  <w:r w:rsidRPr="00871608">
                    <w:rPr>
                      <w:sz w:val="22"/>
                      <w:szCs w:val="22"/>
                    </w:rPr>
                    <w:t>Decision to award (following procurement) of a new Primary Medical Services contract</w:t>
                  </w:r>
                  <w:r w:rsidRPr="00871608">
                    <w:rPr>
                      <w:sz w:val="22"/>
                      <w:szCs w:val="22"/>
                      <w:vertAlign w:val="superscript"/>
                    </w:rPr>
                    <w:t>1</w:t>
                  </w:r>
                </w:p>
              </w:tc>
            </w:tr>
            <w:tr w:rsidR="00E91B42" w:rsidRPr="007846B5" w14:paraId="64470F6D" w14:textId="77777777" w:rsidTr="00DF1262">
              <w:trPr>
                <w:trHeight w:val="446"/>
              </w:trPr>
              <w:tc>
                <w:tcPr>
                  <w:tcW w:w="918" w:type="pct"/>
                  <w:vAlign w:val="center"/>
                </w:tcPr>
                <w:p w14:paraId="55CB0C68" w14:textId="77777777" w:rsidR="00E91B42" w:rsidRPr="00871608" w:rsidRDefault="00E91B42" w:rsidP="00E91B42">
                  <w:pPr>
                    <w:spacing w:before="120" w:after="120"/>
                    <w:ind w:left="720"/>
                    <w:rPr>
                      <w:sz w:val="22"/>
                      <w:szCs w:val="22"/>
                    </w:rPr>
                  </w:pPr>
                  <w:r w:rsidRPr="00871608">
                    <w:rPr>
                      <w:sz w:val="22"/>
                      <w:szCs w:val="22"/>
                    </w:rPr>
                    <w:t>3</w:t>
                  </w:r>
                </w:p>
              </w:tc>
              <w:tc>
                <w:tcPr>
                  <w:tcW w:w="4082" w:type="pct"/>
                  <w:vAlign w:val="center"/>
                </w:tcPr>
                <w:p w14:paraId="69A7C540" w14:textId="77777777" w:rsidR="00E91B42" w:rsidRPr="00871608" w:rsidRDefault="00E91B42" w:rsidP="00E91B42">
                  <w:pPr>
                    <w:spacing w:before="120" w:after="120"/>
                    <w:ind w:left="720"/>
                    <w:rPr>
                      <w:sz w:val="22"/>
                      <w:szCs w:val="22"/>
                    </w:rPr>
                  </w:pPr>
                  <w:r w:rsidRPr="00871608">
                    <w:rPr>
                      <w:sz w:val="22"/>
                      <w:szCs w:val="22"/>
                    </w:rPr>
                    <w:t xml:space="preserve">Interface and management of assurance to the ICB Executive Committee - ICB wide strategy development and delivery oversight </w:t>
                  </w:r>
                </w:p>
              </w:tc>
            </w:tr>
            <w:tr w:rsidR="00E91B42" w:rsidRPr="007846B5" w14:paraId="5D370224" w14:textId="77777777" w:rsidTr="00DF1262">
              <w:trPr>
                <w:trHeight w:val="446"/>
              </w:trPr>
              <w:tc>
                <w:tcPr>
                  <w:tcW w:w="918" w:type="pct"/>
                  <w:vAlign w:val="center"/>
                </w:tcPr>
                <w:p w14:paraId="1527A703" w14:textId="77777777" w:rsidR="00E91B42" w:rsidRPr="00871608" w:rsidRDefault="00E91B42" w:rsidP="00E91B42">
                  <w:pPr>
                    <w:spacing w:before="120" w:after="120"/>
                    <w:ind w:left="720"/>
                    <w:rPr>
                      <w:sz w:val="22"/>
                      <w:szCs w:val="22"/>
                    </w:rPr>
                  </w:pPr>
                  <w:r w:rsidRPr="00871608">
                    <w:rPr>
                      <w:sz w:val="22"/>
                      <w:szCs w:val="22"/>
                    </w:rPr>
                    <w:t>4</w:t>
                  </w:r>
                </w:p>
              </w:tc>
              <w:tc>
                <w:tcPr>
                  <w:tcW w:w="4082" w:type="pct"/>
                  <w:vAlign w:val="center"/>
                </w:tcPr>
                <w:p w14:paraId="2D3ECC79" w14:textId="77777777" w:rsidR="00E91B42" w:rsidRPr="00871608" w:rsidRDefault="00E91B42" w:rsidP="00E91B42">
                  <w:pPr>
                    <w:spacing w:before="120" w:after="120"/>
                    <w:ind w:left="720"/>
                    <w:rPr>
                      <w:sz w:val="22"/>
                      <w:szCs w:val="22"/>
                    </w:rPr>
                  </w:pPr>
                  <w:r w:rsidRPr="00871608">
                    <w:rPr>
                      <w:sz w:val="22"/>
                      <w:szCs w:val="22"/>
                    </w:rPr>
                    <w:t>Govern and manage assurance of delegated commissioning from Place to ensure the ICB meets its duties in relation to delegation</w:t>
                  </w:r>
                </w:p>
              </w:tc>
            </w:tr>
            <w:tr w:rsidR="00E91B42" w:rsidRPr="007846B5" w14:paraId="26D587FD" w14:textId="77777777" w:rsidTr="00DF1262">
              <w:trPr>
                <w:trHeight w:val="446"/>
              </w:trPr>
              <w:tc>
                <w:tcPr>
                  <w:tcW w:w="918" w:type="pct"/>
                  <w:vAlign w:val="center"/>
                </w:tcPr>
                <w:p w14:paraId="225A0429" w14:textId="77777777" w:rsidR="00E91B42" w:rsidRPr="00871608" w:rsidRDefault="00E91B42" w:rsidP="00E91B42">
                  <w:pPr>
                    <w:spacing w:before="120" w:after="120"/>
                    <w:ind w:left="720"/>
                    <w:rPr>
                      <w:sz w:val="22"/>
                      <w:szCs w:val="22"/>
                    </w:rPr>
                  </w:pPr>
                  <w:r w:rsidRPr="00871608">
                    <w:rPr>
                      <w:sz w:val="22"/>
                      <w:szCs w:val="22"/>
                    </w:rPr>
                    <w:t>5</w:t>
                  </w:r>
                </w:p>
              </w:tc>
              <w:tc>
                <w:tcPr>
                  <w:tcW w:w="4082" w:type="pct"/>
                  <w:vAlign w:val="center"/>
                </w:tcPr>
                <w:p w14:paraId="725E4DA4" w14:textId="77777777" w:rsidR="00E91B42" w:rsidRPr="00871608" w:rsidRDefault="00E91B42" w:rsidP="00E91B42">
                  <w:pPr>
                    <w:spacing w:before="120" w:after="120"/>
                    <w:ind w:left="720"/>
                    <w:rPr>
                      <w:sz w:val="22"/>
                      <w:szCs w:val="22"/>
                    </w:rPr>
                  </w:pPr>
                  <w:r w:rsidRPr="00871608">
                    <w:rPr>
                      <w:sz w:val="22"/>
                      <w:szCs w:val="22"/>
                    </w:rPr>
                    <w:t xml:space="preserve">Strategic oversight of Place operational planning, delivery, and management in respect of Primary Medical Services </w:t>
                  </w:r>
                </w:p>
              </w:tc>
            </w:tr>
            <w:tr w:rsidR="00E91B42" w:rsidRPr="007846B5" w14:paraId="725F986B" w14:textId="77777777" w:rsidTr="00DF1262">
              <w:trPr>
                <w:trHeight w:val="446"/>
              </w:trPr>
              <w:tc>
                <w:tcPr>
                  <w:tcW w:w="918" w:type="pct"/>
                  <w:vAlign w:val="center"/>
                </w:tcPr>
                <w:p w14:paraId="68CEAEAD" w14:textId="77777777" w:rsidR="00E91B42" w:rsidRPr="00871608" w:rsidRDefault="00E91B42" w:rsidP="00E91B42">
                  <w:pPr>
                    <w:spacing w:before="120" w:after="120"/>
                    <w:ind w:left="720"/>
                    <w:rPr>
                      <w:sz w:val="22"/>
                      <w:szCs w:val="22"/>
                    </w:rPr>
                  </w:pPr>
                  <w:r w:rsidRPr="00871608">
                    <w:rPr>
                      <w:sz w:val="22"/>
                      <w:szCs w:val="22"/>
                    </w:rPr>
                    <w:t>6</w:t>
                  </w:r>
                </w:p>
              </w:tc>
              <w:tc>
                <w:tcPr>
                  <w:tcW w:w="4082" w:type="pct"/>
                  <w:vAlign w:val="center"/>
                </w:tcPr>
                <w:p w14:paraId="5C1024C6" w14:textId="77777777" w:rsidR="00E91B42" w:rsidRPr="00871608" w:rsidRDefault="00E91B42" w:rsidP="00E91B42">
                  <w:pPr>
                    <w:spacing w:before="120" w:after="120"/>
                    <w:ind w:left="720"/>
                    <w:rPr>
                      <w:sz w:val="22"/>
                      <w:szCs w:val="22"/>
                    </w:rPr>
                  </w:pPr>
                  <w:r w:rsidRPr="00871608">
                    <w:rPr>
                      <w:sz w:val="22"/>
                      <w:szCs w:val="22"/>
                    </w:rPr>
                    <w:t xml:space="preserve">Interface and management of assurance to NHS England </w:t>
                  </w:r>
                  <w:proofErr w:type="gramStart"/>
                  <w:r w:rsidRPr="00871608">
                    <w:rPr>
                      <w:sz w:val="22"/>
                      <w:szCs w:val="22"/>
                    </w:rPr>
                    <w:t>North East</w:t>
                  </w:r>
                  <w:proofErr w:type="gramEnd"/>
                  <w:r w:rsidRPr="00871608">
                    <w:rPr>
                      <w:sz w:val="22"/>
                      <w:szCs w:val="22"/>
                    </w:rPr>
                    <w:t xml:space="preserve"> and Yorkshire region</w:t>
                  </w:r>
                </w:p>
              </w:tc>
            </w:tr>
            <w:tr w:rsidR="00E91B42" w:rsidRPr="007846B5" w14:paraId="002E80CD" w14:textId="77777777" w:rsidTr="00DF1262">
              <w:trPr>
                <w:trHeight w:val="446"/>
              </w:trPr>
              <w:tc>
                <w:tcPr>
                  <w:tcW w:w="918" w:type="pct"/>
                  <w:vAlign w:val="center"/>
                </w:tcPr>
                <w:p w14:paraId="58672E91" w14:textId="77777777" w:rsidR="00E91B42" w:rsidRPr="00871608" w:rsidRDefault="00E91B42" w:rsidP="00E91B42">
                  <w:pPr>
                    <w:spacing w:before="120" w:after="120"/>
                    <w:ind w:left="720"/>
                    <w:rPr>
                      <w:sz w:val="22"/>
                      <w:szCs w:val="22"/>
                    </w:rPr>
                  </w:pPr>
                  <w:r w:rsidRPr="00871608">
                    <w:rPr>
                      <w:sz w:val="22"/>
                      <w:szCs w:val="22"/>
                    </w:rPr>
                    <w:t>7</w:t>
                  </w:r>
                </w:p>
              </w:tc>
              <w:tc>
                <w:tcPr>
                  <w:tcW w:w="4082" w:type="pct"/>
                  <w:vAlign w:val="center"/>
                </w:tcPr>
                <w:p w14:paraId="09724785" w14:textId="77777777" w:rsidR="00E91B42" w:rsidRPr="00871608" w:rsidRDefault="00E91B42" w:rsidP="00E91B42">
                  <w:pPr>
                    <w:spacing w:before="120" w:after="120"/>
                    <w:ind w:left="720"/>
                    <w:rPr>
                      <w:sz w:val="22"/>
                      <w:szCs w:val="22"/>
                    </w:rPr>
                  </w:pPr>
                  <w:r w:rsidRPr="00871608">
                    <w:rPr>
                      <w:sz w:val="22"/>
                      <w:szCs w:val="22"/>
                    </w:rPr>
                    <w:t>Clinical waste contract oversight (General Practice)</w:t>
                  </w:r>
                </w:p>
              </w:tc>
            </w:tr>
            <w:tr w:rsidR="00E91B42" w:rsidRPr="007846B5" w14:paraId="3BFCA812" w14:textId="77777777" w:rsidTr="00DF1262">
              <w:trPr>
                <w:trHeight w:val="446"/>
              </w:trPr>
              <w:tc>
                <w:tcPr>
                  <w:tcW w:w="918" w:type="pct"/>
                  <w:vAlign w:val="center"/>
                </w:tcPr>
                <w:p w14:paraId="130FF6E4" w14:textId="77777777" w:rsidR="00E91B42" w:rsidRPr="00871608" w:rsidRDefault="00E91B42" w:rsidP="00E91B42">
                  <w:pPr>
                    <w:spacing w:before="120" w:after="120"/>
                    <w:ind w:left="720"/>
                    <w:rPr>
                      <w:sz w:val="22"/>
                      <w:szCs w:val="22"/>
                    </w:rPr>
                  </w:pPr>
                  <w:r w:rsidRPr="00871608">
                    <w:rPr>
                      <w:sz w:val="22"/>
                      <w:szCs w:val="22"/>
                    </w:rPr>
                    <w:t>8</w:t>
                  </w:r>
                </w:p>
              </w:tc>
              <w:tc>
                <w:tcPr>
                  <w:tcW w:w="4082" w:type="pct"/>
                  <w:vAlign w:val="center"/>
                </w:tcPr>
                <w:p w14:paraId="667F4811" w14:textId="77777777" w:rsidR="00E91B42" w:rsidRPr="00871608" w:rsidRDefault="00E91B42" w:rsidP="00E91B42">
                  <w:pPr>
                    <w:spacing w:before="120" w:after="120"/>
                    <w:ind w:left="720"/>
                    <w:rPr>
                      <w:sz w:val="22"/>
                      <w:szCs w:val="22"/>
                    </w:rPr>
                  </w:pPr>
                  <w:r w:rsidRPr="00871608">
                    <w:rPr>
                      <w:sz w:val="22"/>
                      <w:szCs w:val="22"/>
                    </w:rPr>
                    <w:t>National funding scheme development and oversight</w:t>
                  </w:r>
                </w:p>
              </w:tc>
            </w:tr>
            <w:tr w:rsidR="00E91B42" w:rsidRPr="007846B5" w14:paraId="04D6AEAB" w14:textId="77777777" w:rsidTr="00DF1262">
              <w:trPr>
                <w:trHeight w:val="446"/>
              </w:trPr>
              <w:tc>
                <w:tcPr>
                  <w:tcW w:w="918" w:type="pct"/>
                  <w:vAlign w:val="center"/>
                </w:tcPr>
                <w:p w14:paraId="66C89C2B" w14:textId="77777777" w:rsidR="00E91B42" w:rsidRPr="00871608" w:rsidRDefault="00E91B42" w:rsidP="00E91B42">
                  <w:pPr>
                    <w:spacing w:before="120" w:after="120"/>
                    <w:ind w:left="720"/>
                    <w:rPr>
                      <w:sz w:val="22"/>
                      <w:szCs w:val="22"/>
                    </w:rPr>
                  </w:pPr>
                  <w:r w:rsidRPr="00871608">
                    <w:rPr>
                      <w:sz w:val="22"/>
                      <w:szCs w:val="22"/>
                    </w:rPr>
                    <w:t>9</w:t>
                  </w:r>
                </w:p>
              </w:tc>
              <w:tc>
                <w:tcPr>
                  <w:tcW w:w="4082" w:type="pct"/>
                  <w:vAlign w:val="center"/>
                </w:tcPr>
                <w:p w14:paraId="391C1176" w14:textId="77777777" w:rsidR="00E91B42" w:rsidRPr="00871608" w:rsidRDefault="00E91B42" w:rsidP="00E91B42">
                  <w:pPr>
                    <w:spacing w:before="120" w:after="120"/>
                    <w:ind w:left="720"/>
                    <w:rPr>
                      <w:sz w:val="22"/>
                      <w:szCs w:val="22"/>
                    </w:rPr>
                  </w:pPr>
                  <w:r w:rsidRPr="00871608">
                    <w:rPr>
                      <w:sz w:val="22"/>
                      <w:szCs w:val="22"/>
                    </w:rPr>
                    <w:t xml:space="preserve">Quality on Outcomes Framework (QOF) annual sign </w:t>
                  </w:r>
                  <w:proofErr w:type="gramStart"/>
                  <w:r w:rsidRPr="00871608">
                    <w:rPr>
                      <w:sz w:val="22"/>
                      <w:szCs w:val="22"/>
                    </w:rPr>
                    <w:t>off of</w:t>
                  </w:r>
                  <w:proofErr w:type="gramEnd"/>
                  <w:r w:rsidRPr="00871608">
                    <w:rPr>
                      <w:sz w:val="22"/>
                      <w:szCs w:val="22"/>
                    </w:rPr>
                    <w:t xml:space="preserve"> scheme and approval of payments</w:t>
                  </w:r>
                </w:p>
              </w:tc>
            </w:tr>
            <w:tr w:rsidR="00E91B42" w:rsidRPr="007846B5" w14:paraId="367DBD13" w14:textId="77777777" w:rsidTr="00DF1262">
              <w:trPr>
                <w:trHeight w:val="446"/>
              </w:trPr>
              <w:tc>
                <w:tcPr>
                  <w:tcW w:w="918" w:type="pct"/>
                  <w:vAlign w:val="center"/>
                </w:tcPr>
                <w:p w14:paraId="3AF77E95" w14:textId="77777777" w:rsidR="00E91B42" w:rsidRPr="00871608" w:rsidRDefault="00E91B42" w:rsidP="00E91B42">
                  <w:pPr>
                    <w:spacing w:before="120" w:after="120"/>
                    <w:ind w:left="720"/>
                    <w:rPr>
                      <w:sz w:val="22"/>
                      <w:szCs w:val="22"/>
                    </w:rPr>
                  </w:pPr>
                  <w:r w:rsidRPr="00871608">
                    <w:rPr>
                      <w:sz w:val="22"/>
                      <w:szCs w:val="22"/>
                    </w:rPr>
                    <w:t>10</w:t>
                  </w:r>
                </w:p>
              </w:tc>
              <w:tc>
                <w:tcPr>
                  <w:tcW w:w="4082" w:type="pct"/>
                  <w:vAlign w:val="center"/>
                </w:tcPr>
                <w:p w14:paraId="43BFF744" w14:textId="77777777" w:rsidR="00E91B42" w:rsidRPr="00871608" w:rsidRDefault="00E91B42" w:rsidP="00E91B42">
                  <w:pPr>
                    <w:spacing w:before="120" w:after="120"/>
                    <w:ind w:left="720"/>
                    <w:rPr>
                      <w:sz w:val="22"/>
                      <w:szCs w:val="22"/>
                    </w:rPr>
                  </w:pPr>
                  <w:r w:rsidRPr="00871608">
                    <w:rPr>
                      <w:sz w:val="22"/>
                      <w:szCs w:val="22"/>
                    </w:rPr>
                    <w:t>Manage the design (where applicable) and commissioning of any regional services, including re-commissioning these services annually where appropriate</w:t>
                  </w:r>
                </w:p>
              </w:tc>
            </w:tr>
            <w:tr w:rsidR="00E91B42" w:rsidRPr="007846B5" w14:paraId="09D84868" w14:textId="77777777" w:rsidTr="00DF1262">
              <w:trPr>
                <w:trHeight w:val="446"/>
              </w:trPr>
              <w:tc>
                <w:tcPr>
                  <w:tcW w:w="918" w:type="pct"/>
                  <w:vAlign w:val="center"/>
                </w:tcPr>
                <w:p w14:paraId="10CB65C9" w14:textId="77777777" w:rsidR="00E91B42" w:rsidRPr="00871608" w:rsidRDefault="00E91B42" w:rsidP="00E91B42">
                  <w:pPr>
                    <w:spacing w:before="120" w:after="120"/>
                    <w:ind w:left="720"/>
                    <w:rPr>
                      <w:sz w:val="22"/>
                      <w:szCs w:val="22"/>
                    </w:rPr>
                  </w:pPr>
                  <w:r w:rsidRPr="00871608">
                    <w:rPr>
                      <w:sz w:val="22"/>
                      <w:szCs w:val="22"/>
                    </w:rPr>
                    <w:t>11</w:t>
                  </w:r>
                </w:p>
              </w:tc>
              <w:tc>
                <w:tcPr>
                  <w:tcW w:w="4082" w:type="pct"/>
                  <w:vAlign w:val="center"/>
                </w:tcPr>
                <w:p w14:paraId="660C885D" w14:textId="77777777" w:rsidR="00E91B42" w:rsidRPr="00871608" w:rsidRDefault="00E91B42" w:rsidP="00E91B42">
                  <w:pPr>
                    <w:spacing w:before="120" w:after="120"/>
                    <w:ind w:left="720"/>
                    <w:rPr>
                      <w:sz w:val="22"/>
                      <w:szCs w:val="22"/>
                    </w:rPr>
                  </w:pPr>
                  <w:r w:rsidRPr="00871608">
                    <w:rPr>
                      <w:sz w:val="22"/>
                      <w:szCs w:val="22"/>
                    </w:rPr>
                    <w:t>Decision making and budget management regarding primary care estates strategies and overarching revenue consequences</w:t>
                  </w:r>
                </w:p>
              </w:tc>
            </w:tr>
            <w:tr w:rsidR="00E91B42" w:rsidRPr="007846B5" w14:paraId="3FAA715E" w14:textId="77777777" w:rsidTr="00DF1262">
              <w:trPr>
                <w:trHeight w:val="446"/>
              </w:trPr>
              <w:tc>
                <w:tcPr>
                  <w:tcW w:w="918" w:type="pct"/>
                  <w:vAlign w:val="center"/>
                </w:tcPr>
                <w:p w14:paraId="495E717B" w14:textId="77777777" w:rsidR="00E91B42" w:rsidRPr="00871608" w:rsidRDefault="00E91B42" w:rsidP="00E91B42">
                  <w:pPr>
                    <w:spacing w:before="120" w:after="120"/>
                    <w:ind w:left="720"/>
                    <w:rPr>
                      <w:sz w:val="22"/>
                      <w:szCs w:val="22"/>
                    </w:rPr>
                  </w:pPr>
                  <w:r w:rsidRPr="00871608">
                    <w:rPr>
                      <w:sz w:val="22"/>
                      <w:szCs w:val="22"/>
                    </w:rPr>
                    <w:t>12</w:t>
                  </w:r>
                </w:p>
              </w:tc>
              <w:tc>
                <w:tcPr>
                  <w:tcW w:w="4082" w:type="pct"/>
                  <w:vAlign w:val="center"/>
                </w:tcPr>
                <w:p w14:paraId="47346243" w14:textId="77777777" w:rsidR="00E91B42" w:rsidRPr="00871608" w:rsidRDefault="00E91B42" w:rsidP="00E91B42">
                  <w:pPr>
                    <w:spacing w:before="120" w:after="120"/>
                    <w:ind w:left="720"/>
                    <w:rPr>
                      <w:sz w:val="22"/>
                      <w:szCs w:val="22"/>
                    </w:rPr>
                  </w:pPr>
                  <w:r w:rsidRPr="00871608">
                    <w:rPr>
                      <w:sz w:val="22"/>
                      <w:szCs w:val="22"/>
                    </w:rPr>
                    <w:t>Decision making and budget management regarding primary care GPIT</w:t>
                  </w:r>
                </w:p>
              </w:tc>
            </w:tr>
            <w:tr w:rsidR="00E91B42" w:rsidRPr="007846B5" w14:paraId="3B060FD3" w14:textId="77777777" w:rsidTr="00DF1262">
              <w:trPr>
                <w:trHeight w:val="796"/>
              </w:trPr>
              <w:tc>
                <w:tcPr>
                  <w:tcW w:w="918" w:type="pct"/>
                  <w:vAlign w:val="center"/>
                </w:tcPr>
                <w:p w14:paraId="08CBF280" w14:textId="77777777" w:rsidR="00E91B42" w:rsidRPr="00871608" w:rsidRDefault="00E91B42" w:rsidP="00E91B42">
                  <w:pPr>
                    <w:spacing w:before="120" w:after="120"/>
                    <w:ind w:left="720"/>
                    <w:rPr>
                      <w:sz w:val="22"/>
                      <w:szCs w:val="22"/>
                    </w:rPr>
                  </w:pPr>
                  <w:r w:rsidRPr="00871608">
                    <w:rPr>
                      <w:sz w:val="22"/>
                      <w:szCs w:val="22"/>
                    </w:rPr>
                    <w:t>13</w:t>
                  </w:r>
                </w:p>
              </w:tc>
              <w:tc>
                <w:tcPr>
                  <w:tcW w:w="4082" w:type="pct"/>
                  <w:vAlign w:val="center"/>
                </w:tcPr>
                <w:p w14:paraId="1322D9B1" w14:textId="77777777" w:rsidR="00E91B42" w:rsidRPr="00871608" w:rsidRDefault="00E91B42" w:rsidP="00E91B42">
                  <w:pPr>
                    <w:autoSpaceDE w:val="0"/>
                    <w:autoSpaceDN w:val="0"/>
                    <w:adjustRightInd w:val="0"/>
                    <w:ind w:left="646"/>
                    <w:rPr>
                      <w:sz w:val="22"/>
                      <w:szCs w:val="22"/>
                    </w:rPr>
                  </w:pPr>
                  <w:r w:rsidRPr="00871608">
                    <w:rPr>
                      <w:sz w:val="22"/>
                      <w:szCs w:val="22"/>
                    </w:rPr>
                    <w:t>Revenue decisions relating to premises (affecting more than one Place)</w:t>
                  </w:r>
                </w:p>
              </w:tc>
            </w:tr>
            <w:tr w:rsidR="00E91B42" w:rsidRPr="007846B5" w14:paraId="69086066" w14:textId="77777777" w:rsidTr="00DF1262">
              <w:trPr>
                <w:trHeight w:val="709"/>
              </w:trPr>
              <w:tc>
                <w:tcPr>
                  <w:tcW w:w="918" w:type="pct"/>
                  <w:vAlign w:val="center"/>
                </w:tcPr>
                <w:p w14:paraId="7299F827" w14:textId="77777777" w:rsidR="00E91B42" w:rsidRPr="00871608" w:rsidRDefault="00E91B42" w:rsidP="00E91B42">
                  <w:pPr>
                    <w:spacing w:before="120" w:after="120"/>
                    <w:ind w:left="720"/>
                    <w:rPr>
                      <w:sz w:val="22"/>
                      <w:szCs w:val="22"/>
                    </w:rPr>
                  </w:pPr>
                  <w:r w:rsidRPr="00871608">
                    <w:rPr>
                      <w:sz w:val="22"/>
                      <w:szCs w:val="22"/>
                    </w:rPr>
                    <w:t>14</w:t>
                  </w:r>
                </w:p>
              </w:tc>
              <w:tc>
                <w:tcPr>
                  <w:tcW w:w="4082" w:type="pct"/>
                  <w:vAlign w:val="center"/>
                </w:tcPr>
                <w:p w14:paraId="17D1DC98" w14:textId="77777777" w:rsidR="00E91B42" w:rsidRPr="00871608" w:rsidRDefault="00E91B42" w:rsidP="00E91B42">
                  <w:pPr>
                    <w:autoSpaceDE w:val="0"/>
                    <w:autoSpaceDN w:val="0"/>
                    <w:adjustRightInd w:val="0"/>
                    <w:ind w:left="646"/>
                    <w:rPr>
                      <w:sz w:val="22"/>
                      <w:szCs w:val="22"/>
                    </w:rPr>
                  </w:pPr>
                  <w:r w:rsidRPr="00871608">
                    <w:rPr>
                      <w:sz w:val="22"/>
                      <w:szCs w:val="22"/>
                    </w:rPr>
                    <w:t>Decisions escalated from Place where it exceeds financial limits and risk</w:t>
                  </w:r>
                </w:p>
              </w:tc>
            </w:tr>
          </w:tbl>
          <w:p w14:paraId="01671734" w14:textId="77777777" w:rsidR="00E91B42" w:rsidRDefault="00E91B42" w:rsidP="00E91B42">
            <w:pPr>
              <w:rPr>
                <w:sz w:val="20"/>
                <w:szCs w:val="20"/>
                <w:u w:val="single"/>
              </w:rPr>
            </w:pPr>
            <w:bookmarkStart w:id="42" w:name="_Hlk129156255"/>
            <w:r>
              <w:rPr>
                <w:sz w:val="20"/>
                <w:szCs w:val="20"/>
                <w:u w:val="single"/>
              </w:rPr>
              <w:t>Notes</w:t>
            </w:r>
          </w:p>
          <w:p w14:paraId="6AF1D9D0" w14:textId="77777777" w:rsidR="00E91B42" w:rsidRDefault="00E91B42" w:rsidP="00E91B42">
            <w:pPr>
              <w:rPr>
                <w:sz w:val="20"/>
                <w:szCs w:val="20"/>
              </w:rPr>
            </w:pPr>
            <w:r>
              <w:rPr>
                <w:sz w:val="20"/>
                <w:szCs w:val="20"/>
                <w:vertAlign w:val="superscript"/>
              </w:rPr>
              <w:t>1</w:t>
            </w:r>
            <w:r>
              <w:rPr>
                <w:sz w:val="20"/>
                <w:szCs w:val="20"/>
              </w:rPr>
              <w:t xml:space="preserve"> For contracts </w:t>
            </w:r>
            <w:r w:rsidRPr="006C30B1">
              <w:rPr>
                <w:sz w:val="20"/>
                <w:szCs w:val="20"/>
              </w:rPr>
              <w:t xml:space="preserve">which have or </w:t>
            </w:r>
            <w:proofErr w:type="gramStart"/>
            <w:r w:rsidRPr="006C30B1">
              <w:rPr>
                <w:sz w:val="20"/>
                <w:szCs w:val="20"/>
              </w:rPr>
              <w:t>are capable of having</w:t>
            </w:r>
            <w:proofErr w:type="gramEnd"/>
            <w:r w:rsidRPr="006C30B1">
              <w:rPr>
                <w:sz w:val="20"/>
                <w:szCs w:val="20"/>
              </w:rPr>
              <w:t xml:space="preserve"> a term </w:t>
            </w:r>
            <w:r w:rsidRPr="006F3619">
              <w:rPr>
                <w:sz w:val="20"/>
                <w:szCs w:val="20"/>
              </w:rPr>
              <w:t>which exceeds five (5) years, see Appendix</w:t>
            </w:r>
            <w:r>
              <w:rPr>
                <w:sz w:val="20"/>
                <w:szCs w:val="20"/>
              </w:rPr>
              <w:t xml:space="preserve"> 2a (</w:t>
            </w:r>
            <w:proofErr w:type="spellStart"/>
            <w:r>
              <w:rPr>
                <w:sz w:val="20"/>
                <w:szCs w:val="20"/>
              </w:rPr>
              <w:t>SoRD</w:t>
            </w:r>
            <w:proofErr w:type="spellEnd"/>
            <w:r>
              <w:rPr>
                <w:sz w:val="20"/>
                <w:szCs w:val="20"/>
              </w:rPr>
              <w:t>).</w:t>
            </w:r>
          </w:p>
          <w:bookmarkEnd w:id="42"/>
          <w:p w14:paraId="5B3DFC0B" w14:textId="77777777" w:rsidR="00E91B42" w:rsidRDefault="00E91B42" w:rsidP="00E91B42">
            <w:pPr>
              <w:rPr>
                <w:sz w:val="20"/>
                <w:szCs w:val="20"/>
              </w:rPr>
            </w:pPr>
          </w:p>
          <w:p w14:paraId="73FB248F" w14:textId="77777777" w:rsidR="00E91B42" w:rsidRDefault="00E91B42" w:rsidP="00E91B42">
            <w:pPr>
              <w:rPr>
                <w:sz w:val="20"/>
                <w:szCs w:val="20"/>
                <w:u w:val="single"/>
              </w:rPr>
            </w:pPr>
            <w:r>
              <w:rPr>
                <w:sz w:val="20"/>
                <w:szCs w:val="20"/>
                <w:u w:val="single"/>
              </w:rPr>
              <w:t>General Note</w:t>
            </w:r>
          </w:p>
          <w:p w14:paraId="04B677BE" w14:textId="77777777" w:rsidR="00E91B42" w:rsidRDefault="00E91B42" w:rsidP="00E91B42">
            <w:pPr>
              <w:widowControl w:val="0"/>
              <w:numPr>
                <w:ilvl w:val="1"/>
                <w:numId w:val="0"/>
              </w:numPr>
              <w:spacing w:before="240" w:after="120"/>
              <w:outlineLvl w:val="1"/>
              <w:rPr>
                <w:sz w:val="20"/>
                <w:szCs w:val="20"/>
              </w:rPr>
            </w:pPr>
            <w:r>
              <w:rPr>
                <w:sz w:val="20"/>
                <w:szCs w:val="20"/>
              </w:rPr>
              <w:t>Any matter in relation to the primary medical delegated functions which is novel, contentious, or repercussive must be referred to the ICB Chief Executive or Executive Director of Finance or ICB Chair (see Appendix 2a) (</w:t>
            </w:r>
            <w:proofErr w:type="spellStart"/>
            <w:r>
              <w:rPr>
                <w:sz w:val="20"/>
                <w:szCs w:val="20"/>
              </w:rPr>
              <w:t>SoRD</w:t>
            </w:r>
            <w:proofErr w:type="spellEnd"/>
            <w:r>
              <w:rPr>
                <w:sz w:val="20"/>
                <w:szCs w:val="20"/>
              </w:rPr>
              <w:t>)</w:t>
            </w:r>
          </w:p>
          <w:p w14:paraId="71397642" w14:textId="1540C35D" w:rsidR="003349B8" w:rsidRPr="007846B5" w:rsidRDefault="003349B8" w:rsidP="00790E9D">
            <w:pPr>
              <w:spacing w:before="120" w:after="120"/>
              <w:ind w:left="720"/>
              <w:rPr>
                <w:rFonts w:eastAsia="Calibri"/>
                <w:color w:val="000000"/>
                <w:sz w:val="22"/>
                <w:szCs w:val="22"/>
                <w:highlight w:val="yellow"/>
                <w:lang w:eastAsia="en-GB"/>
              </w:rPr>
            </w:pPr>
          </w:p>
        </w:tc>
      </w:tr>
    </w:tbl>
    <w:p w14:paraId="30DD7A0C" w14:textId="77777777" w:rsidR="003349B8" w:rsidRPr="007846B5" w:rsidRDefault="003349B8" w:rsidP="003349B8">
      <w:pPr>
        <w:keepNext/>
        <w:keepLines/>
        <w:spacing w:before="200"/>
        <w:outlineLvl w:val="1"/>
        <w:rPr>
          <w:rFonts w:asciiTheme="majorHAnsi" w:eastAsiaTheme="majorEastAsia" w:hAnsiTheme="majorHAnsi" w:cstheme="majorBidi"/>
          <w:b/>
          <w:bCs/>
          <w:color w:val="4F81BD" w:themeColor="accent1"/>
          <w:sz w:val="26"/>
          <w:szCs w:val="26"/>
        </w:rPr>
      </w:pPr>
    </w:p>
    <w:p w14:paraId="3B9FF1D5"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43" w:name="_Toc129939313"/>
      <w:bookmarkStart w:id="44" w:name="_Toc129939480"/>
      <w:bookmarkStart w:id="45" w:name="_Toc129939773"/>
      <w:bookmarkStart w:id="46" w:name="_Toc129940154"/>
      <w:bookmarkStart w:id="47" w:name="_Toc131156876"/>
      <w:r w:rsidRPr="009A777F">
        <w:rPr>
          <w:rFonts w:eastAsiaTheme="majorEastAsia"/>
          <w:b/>
          <w:bCs/>
          <w:sz w:val="26"/>
          <w:szCs w:val="26"/>
        </w:rPr>
        <w:t>Accountability and reporting</w:t>
      </w:r>
      <w:bookmarkEnd w:id="43"/>
      <w:bookmarkEnd w:id="44"/>
      <w:bookmarkEnd w:id="45"/>
      <w:bookmarkEnd w:id="46"/>
      <w:bookmarkEnd w:id="47"/>
      <w:r w:rsidRPr="009A777F">
        <w:rPr>
          <w:rFonts w:eastAsiaTheme="majorEastAsia"/>
          <w:b/>
          <w:bCs/>
          <w:sz w:val="26"/>
          <w:szCs w:val="26"/>
        </w:rPr>
        <w:t xml:space="preserve"> </w:t>
      </w:r>
    </w:p>
    <w:p w14:paraId="020D3932" w14:textId="7E7EFFFA" w:rsidR="003349B8" w:rsidRPr="007846B5" w:rsidRDefault="003349B8" w:rsidP="003349B8">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 xml:space="preserve">The </w:t>
      </w:r>
      <w:r>
        <w:rPr>
          <w:rFonts w:eastAsia="Calibri"/>
          <w:color w:val="000000" w:themeColor="text1"/>
          <w:sz w:val="22"/>
          <w:szCs w:val="22"/>
          <w:lang w:eastAsia="en-GB"/>
        </w:rPr>
        <w:t>subcommittee</w:t>
      </w:r>
      <w:r w:rsidRPr="007846B5">
        <w:rPr>
          <w:rFonts w:eastAsia="Calibri"/>
          <w:color w:val="000000" w:themeColor="text1"/>
          <w:sz w:val="22"/>
          <w:szCs w:val="22"/>
          <w:lang w:eastAsia="en-GB"/>
        </w:rPr>
        <w:t xml:space="preserve"> is accountable to its parent committee and reports</w:t>
      </w:r>
      <w:r>
        <w:rPr>
          <w:rFonts w:eastAsia="Calibri"/>
          <w:color w:val="000000" w:themeColor="text1"/>
          <w:sz w:val="22"/>
          <w:szCs w:val="22"/>
          <w:lang w:eastAsia="en-GB"/>
        </w:rPr>
        <w:t xml:space="preserve"> (via minutes/actions)</w:t>
      </w:r>
      <w:r w:rsidRPr="007846B5">
        <w:rPr>
          <w:rFonts w:eastAsia="Calibri"/>
          <w:color w:val="000000" w:themeColor="text1"/>
          <w:sz w:val="22"/>
          <w:szCs w:val="22"/>
          <w:lang w:eastAsia="en-GB"/>
        </w:rPr>
        <w:t xml:space="preserve"> to its parent committee on how it discharges its responsibilities. </w:t>
      </w:r>
    </w:p>
    <w:p w14:paraId="5057EB36" w14:textId="77777777" w:rsidR="003349B8" w:rsidRPr="007846B5" w:rsidRDefault="003349B8" w:rsidP="003349B8">
      <w:pPr>
        <w:rPr>
          <w:rFonts w:eastAsia="Times New Roman"/>
          <w:sz w:val="22"/>
          <w:szCs w:val="22"/>
        </w:rPr>
      </w:pPr>
      <w:r w:rsidRPr="007846B5">
        <w:rPr>
          <w:rFonts w:eastAsia="Times New Roman"/>
          <w:sz w:val="22"/>
          <w:szCs w:val="22"/>
        </w:rPr>
        <w:tab/>
      </w:r>
    </w:p>
    <w:tbl>
      <w:tblPr>
        <w:tblStyle w:val="TableGrid"/>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28"/>
        <w:gridCol w:w="612"/>
        <w:gridCol w:w="6732"/>
      </w:tblGrid>
      <w:tr w:rsidR="003349B8" w:rsidRPr="007846B5" w14:paraId="29E27178" w14:textId="77777777" w:rsidTr="00790E9D">
        <w:trPr>
          <w:trHeight w:val="536"/>
        </w:trPr>
        <w:tc>
          <w:tcPr>
            <w:tcW w:w="2340" w:type="dxa"/>
            <w:gridSpan w:val="2"/>
            <w:shd w:val="clear" w:color="auto" w:fill="EEECE1" w:themeFill="background2"/>
            <w:vAlign w:val="center"/>
          </w:tcPr>
          <w:p w14:paraId="57E74B5D" w14:textId="77777777" w:rsidR="003349B8" w:rsidRPr="007846B5" w:rsidRDefault="003349B8" w:rsidP="00790E9D">
            <w:pPr>
              <w:ind w:left="42"/>
              <w:contextualSpacing/>
              <w:rPr>
                <w:b/>
                <w:bCs/>
                <w:color w:val="000000" w:themeColor="text1"/>
                <w:sz w:val="22"/>
                <w:szCs w:val="22"/>
              </w:rPr>
            </w:pPr>
            <w:r w:rsidRPr="007846B5">
              <w:rPr>
                <w:b/>
                <w:bCs/>
                <w:color w:val="000000" w:themeColor="text1"/>
                <w:sz w:val="22"/>
                <w:szCs w:val="22"/>
              </w:rPr>
              <w:t>Accountabilities</w:t>
            </w:r>
          </w:p>
        </w:tc>
        <w:tc>
          <w:tcPr>
            <w:tcW w:w="6732" w:type="dxa"/>
            <w:shd w:val="clear" w:color="auto" w:fill="EEECE1" w:themeFill="background2"/>
            <w:vAlign w:val="center"/>
          </w:tcPr>
          <w:p w14:paraId="5F4309F9" w14:textId="77777777" w:rsidR="003349B8" w:rsidRPr="007846B5" w:rsidRDefault="003349B8" w:rsidP="00790E9D">
            <w:pPr>
              <w:ind w:left="720"/>
              <w:contextualSpacing/>
              <w:rPr>
                <w:b/>
                <w:bCs/>
                <w:color w:val="000000" w:themeColor="text1"/>
                <w:sz w:val="22"/>
                <w:szCs w:val="22"/>
              </w:rPr>
            </w:pPr>
            <w:r w:rsidRPr="007846B5">
              <w:rPr>
                <w:b/>
                <w:bCs/>
                <w:color w:val="000000" w:themeColor="text1"/>
                <w:sz w:val="22"/>
                <w:szCs w:val="22"/>
              </w:rPr>
              <w:t>Description</w:t>
            </w:r>
          </w:p>
        </w:tc>
      </w:tr>
      <w:tr w:rsidR="00004DE8" w:rsidRPr="007846B5" w14:paraId="5CB6E52F" w14:textId="77777777" w:rsidTr="00790E9D">
        <w:tc>
          <w:tcPr>
            <w:tcW w:w="1728" w:type="dxa"/>
          </w:tcPr>
          <w:p w14:paraId="6F27E487" w14:textId="4097017B"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Draft minutes and reports</w:t>
            </w:r>
          </w:p>
        </w:tc>
        <w:tc>
          <w:tcPr>
            <w:tcW w:w="7344" w:type="dxa"/>
            <w:gridSpan w:val="2"/>
          </w:tcPr>
          <w:p w14:paraId="08DD157D" w14:textId="77777777" w:rsidR="00004DE8" w:rsidRPr="007846B5" w:rsidRDefault="00004DE8" w:rsidP="00004DE8">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The secretary formally records the minutes of each meeting. </w:t>
            </w:r>
          </w:p>
          <w:p w14:paraId="39D5DE1E" w14:textId="248E10A3" w:rsidR="00004DE8" w:rsidRPr="007846B5" w:rsidRDefault="00004DE8" w:rsidP="00004DE8">
            <w:pPr>
              <w:spacing w:before="120" w:after="120"/>
              <w:rPr>
                <w:rFonts w:eastAsia="Calibri"/>
                <w:color w:val="000000" w:themeColor="text1"/>
                <w:sz w:val="22"/>
                <w:szCs w:val="22"/>
                <w:lang w:eastAsia="en-GB"/>
              </w:rPr>
            </w:pPr>
            <w:r>
              <w:rPr>
                <w:rFonts w:eastAsia="Calibri"/>
                <w:color w:val="000000" w:themeColor="text1"/>
                <w:sz w:val="22"/>
                <w:szCs w:val="22"/>
                <w:lang w:eastAsia="en-GB"/>
              </w:rPr>
              <w:t xml:space="preserve">Approved minutes will be provided </w:t>
            </w:r>
            <w:r w:rsidRPr="007846B5">
              <w:rPr>
                <w:rFonts w:eastAsia="Calibri"/>
                <w:color w:val="000000" w:themeColor="text1"/>
                <w:sz w:val="22"/>
                <w:szCs w:val="22"/>
                <w:lang w:eastAsia="en-GB"/>
              </w:rPr>
              <w:t xml:space="preserve">to </w:t>
            </w:r>
            <w:r>
              <w:rPr>
                <w:rFonts w:eastAsia="Calibri"/>
                <w:color w:val="000000" w:themeColor="text1"/>
                <w:sz w:val="22"/>
                <w:szCs w:val="22"/>
                <w:lang w:eastAsia="en-GB"/>
              </w:rPr>
              <w:t xml:space="preserve">the </w:t>
            </w:r>
            <w:r w:rsidRPr="007846B5">
              <w:rPr>
                <w:rFonts w:eastAsia="Calibri"/>
                <w:color w:val="000000" w:themeColor="text1"/>
                <w:sz w:val="22"/>
                <w:szCs w:val="22"/>
                <w:lang w:eastAsia="en-GB"/>
              </w:rPr>
              <w:t>parent committee after each meeting</w:t>
            </w:r>
            <w:r>
              <w:rPr>
                <w:rFonts w:eastAsia="Calibri"/>
                <w:color w:val="000000" w:themeColor="text1"/>
                <w:sz w:val="22"/>
                <w:szCs w:val="22"/>
                <w:lang w:eastAsia="en-GB"/>
              </w:rPr>
              <w:t xml:space="preserve">, </w:t>
            </w:r>
            <w:r w:rsidRPr="007846B5">
              <w:rPr>
                <w:rFonts w:eastAsia="Calibri"/>
                <w:color w:val="000000" w:themeColor="text1"/>
                <w:sz w:val="22"/>
                <w:szCs w:val="22"/>
                <w:lang w:eastAsia="en-GB"/>
              </w:rPr>
              <w:t>provid</w:t>
            </w:r>
            <w:r>
              <w:rPr>
                <w:rFonts w:eastAsia="Calibri"/>
                <w:color w:val="000000" w:themeColor="text1"/>
                <w:sz w:val="22"/>
                <w:szCs w:val="22"/>
                <w:lang w:eastAsia="en-GB"/>
              </w:rPr>
              <w:t xml:space="preserve">ing </w:t>
            </w:r>
            <w:r w:rsidRPr="007846B5">
              <w:rPr>
                <w:rFonts w:eastAsia="Calibri"/>
                <w:color w:val="000000" w:themeColor="text1"/>
                <w:sz w:val="22"/>
                <w:szCs w:val="22"/>
                <w:lang w:eastAsia="en-GB"/>
              </w:rPr>
              <w:t>assurances</w:t>
            </w:r>
            <w:r>
              <w:rPr>
                <w:rFonts w:eastAsia="Calibri"/>
                <w:color w:val="000000" w:themeColor="text1"/>
                <w:sz w:val="22"/>
                <w:szCs w:val="22"/>
                <w:lang w:eastAsia="en-GB"/>
              </w:rPr>
              <w:t xml:space="preserve"> on the business considered and </w:t>
            </w:r>
            <w:r w:rsidRPr="007846B5">
              <w:rPr>
                <w:rFonts w:eastAsia="Calibri"/>
                <w:color w:val="000000" w:themeColor="text1"/>
                <w:sz w:val="22"/>
                <w:szCs w:val="22"/>
                <w:lang w:eastAsia="en-GB"/>
              </w:rPr>
              <w:t>escalating any concerns, where necessary.</w:t>
            </w:r>
          </w:p>
        </w:tc>
      </w:tr>
      <w:tr w:rsidR="00004DE8" w:rsidRPr="007846B5" w14:paraId="0C19712D" w14:textId="77777777" w:rsidTr="00790E9D">
        <w:tc>
          <w:tcPr>
            <w:tcW w:w="1728" w:type="dxa"/>
          </w:tcPr>
          <w:p w14:paraId="6F83366E" w14:textId="0336C004"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Monitor attendance</w:t>
            </w:r>
          </w:p>
        </w:tc>
        <w:tc>
          <w:tcPr>
            <w:tcW w:w="7344" w:type="dxa"/>
            <w:gridSpan w:val="2"/>
          </w:tcPr>
          <w:p w14:paraId="18DEE596" w14:textId="77777777" w:rsidR="00004DE8" w:rsidRPr="007846B5" w:rsidRDefault="00004DE8" w:rsidP="00004DE8">
            <w:pPr>
              <w:spacing w:before="120" w:after="120"/>
              <w:rPr>
                <w:color w:val="000000" w:themeColor="text1"/>
                <w:sz w:val="22"/>
                <w:szCs w:val="22"/>
              </w:rPr>
            </w:pPr>
            <w:r w:rsidRPr="007846B5">
              <w:rPr>
                <w:color w:val="000000" w:themeColor="text1"/>
                <w:sz w:val="22"/>
                <w:szCs w:val="22"/>
              </w:rPr>
              <w:t xml:space="preserve">Attendance is monitored and profiled as part of the agenda at each </w:t>
            </w:r>
            <w:r>
              <w:rPr>
                <w:color w:val="000000" w:themeColor="text1"/>
                <w:sz w:val="22"/>
                <w:szCs w:val="22"/>
              </w:rPr>
              <w:t xml:space="preserve">Subcommittee </w:t>
            </w:r>
            <w:r w:rsidRPr="007846B5">
              <w:rPr>
                <w:color w:val="000000" w:themeColor="text1"/>
                <w:sz w:val="22"/>
                <w:szCs w:val="22"/>
              </w:rPr>
              <w:t xml:space="preserve">meeting. </w:t>
            </w:r>
          </w:p>
          <w:p w14:paraId="09E40827" w14:textId="3A1A7C1E" w:rsidR="00004DE8" w:rsidRPr="007846B5" w:rsidRDefault="00004DE8" w:rsidP="00004DE8">
            <w:pPr>
              <w:spacing w:before="120" w:after="120"/>
              <w:rPr>
                <w:color w:val="000000" w:themeColor="text1"/>
                <w:sz w:val="22"/>
                <w:szCs w:val="22"/>
              </w:rPr>
            </w:pPr>
            <w:r w:rsidRPr="007846B5">
              <w:rPr>
                <w:color w:val="000000" w:themeColor="text1"/>
                <w:sz w:val="22"/>
                <w:szCs w:val="22"/>
              </w:rPr>
              <w:t>Members should aim to attend at least 75% of meetings and read all papers beforehand.</w:t>
            </w:r>
          </w:p>
        </w:tc>
      </w:tr>
      <w:tr w:rsidR="00004DE8" w:rsidRPr="007846B5" w14:paraId="152E0F22" w14:textId="77777777" w:rsidTr="00790E9D">
        <w:tc>
          <w:tcPr>
            <w:tcW w:w="1728" w:type="dxa"/>
          </w:tcPr>
          <w:p w14:paraId="471776E2" w14:textId="30AD1D10" w:rsidR="00004DE8" w:rsidRPr="007846B5" w:rsidRDefault="00004DE8" w:rsidP="00004DE8">
            <w:pPr>
              <w:spacing w:before="120" w:after="120"/>
              <w:rPr>
                <w:b/>
                <w:bCs/>
                <w:color w:val="000000" w:themeColor="text1"/>
                <w:sz w:val="22"/>
                <w:szCs w:val="22"/>
              </w:rPr>
            </w:pPr>
            <w:r w:rsidRPr="0073218F">
              <w:rPr>
                <w:b/>
                <w:bCs/>
                <w:color w:val="000000" w:themeColor="text1"/>
                <w:sz w:val="22"/>
                <w:szCs w:val="22"/>
              </w:rPr>
              <w:t>Cycle of business</w:t>
            </w:r>
          </w:p>
        </w:tc>
        <w:tc>
          <w:tcPr>
            <w:tcW w:w="7344" w:type="dxa"/>
            <w:gridSpan w:val="2"/>
          </w:tcPr>
          <w:p w14:paraId="6A388408" w14:textId="5978E1B4" w:rsidR="00004DE8" w:rsidRPr="007846B5" w:rsidRDefault="00004DE8" w:rsidP="00004DE8">
            <w:pPr>
              <w:spacing w:before="120" w:after="120"/>
              <w:rPr>
                <w:color w:val="000000" w:themeColor="text1"/>
                <w:sz w:val="22"/>
                <w:szCs w:val="22"/>
              </w:rPr>
            </w:pPr>
            <w:proofErr w:type="gramStart"/>
            <w:r w:rsidRPr="0073218F">
              <w:rPr>
                <w:color w:val="000000" w:themeColor="text1"/>
                <w:sz w:val="22"/>
                <w:szCs w:val="22"/>
              </w:rPr>
              <w:t>In order to</w:t>
            </w:r>
            <w:proofErr w:type="gramEnd"/>
            <w:r w:rsidRPr="0073218F">
              <w:rPr>
                <w:color w:val="000000" w:themeColor="text1"/>
                <w:sz w:val="22"/>
                <w:szCs w:val="22"/>
              </w:rPr>
              <w:t xml:space="preserve"> aid agenda planning, the Subcommittee may produce an annual work plan and cycle of business in consultation with its parent committee.</w:t>
            </w:r>
          </w:p>
        </w:tc>
      </w:tr>
      <w:tr w:rsidR="00004DE8" w:rsidRPr="007846B5" w14:paraId="0F0317DE" w14:textId="77777777" w:rsidTr="00790E9D">
        <w:tc>
          <w:tcPr>
            <w:tcW w:w="1728" w:type="dxa"/>
          </w:tcPr>
          <w:p w14:paraId="6BD090D8" w14:textId="42EFCA8C" w:rsidR="00004DE8" w:rsidRPr="007846B5" w:rsidRDefault="00004DE8" w:rsidP="00004DE8">
            <w:pPr>
              <w:spacing w:before="120" w:after="120"/>
              <w:rPr>
                <w:b/>
                <w:bCs/>
                <w:color w:val="000000" w:themeColor="text1"/>
                <w:sz w:val="22"/>
                <w:szCs w:val="22"/>
              </w:rPr>
            </w:pPr>
            <w:r w:rsidRPr="00A045C2">
              <w:rPr>
                <w:b/>
                <w:bCs/>
                <w:color w:val="000000" w:themeColor="text1"/>
                <w:sz w:val="22"/>
                <w:szCs w:val="22"/>
              </w:rPr>
              <w:t>Draft annual work plans</w:t>
            </w:r>
          </w:p>
        </w:tc>
        <w:tc>
          <w:tcPr>
            <w:tcW w:w="7344" w:type="dxa"/>
            <w:gridSpan w:val="2"/>
          </w:tcPr>
          <w:p w14:paraId="45314A7B" w14:textId="4A22EDC0" w:rsidR="00004DE8" w:rsidRPr="007846B5" w:rsidRDefault="00004DE8" w:rsidP="00004DE8">
            <w:pPr>
              <w:spacing w:before="120" w:after="120"/>
              <w:rPr>
                <w:b/>
                <w:color w:val="000000" w:themeColor="text1"/>
                <w:sz w:val="22"/>
                <w:szCs w:val="22"/>
              </w:rPr>
            </w:pPr>
            <w:r w:rsidRPr="00A045C2">
              <w:rPr>
                <w:color w:val="000000" w:themeColor="text1"/>
                <w:sz w:val="22"/>
                <w:szCs w:val="22"/>
              </w:rPr>
              <w:t xml:space="preserve">The </w:t>
            </w:r>
            <w:r>
              <w:rPr>
                <w:color w:val="000000" w:themeColor="text1"/>
                <w:sz w:val="22"/>
                <w:szCs w:val="22"/>
              </w:rPr>
              <w:t>Subcommittee</w:t>
            </w:r>
            <w:r w:rsidRPr="00A045C2">
              <w:rPr>
                <w:color w:val="000000" w:themeColor="text1"/>
                <w:sz w:val="22"/>
                <w:szCs w:val="22"/>
              </w:rPr>
              <w:t xml:space="preserve"> produces an annual work plan in consultation with its parent committee.</w:t>
            </w:r>
          </w:p>
        </w:tc>
      </w:tr>
      <w:tr w:rsidR="00871608" w:rsidRPr="007846B5" w14:paraId="2E44E655" w14:textId="77777777" w:rsidTr="00790E9D">
        <w:tc>
          <w:tcPr>
            <w:tcW w:w="1728" w:type="dxa"/>
          </w:tcPr>
          <w:p w14:paraId="0EC9C269" w14:textId="77777777" w:rsidR="00871608" w:rsidRDefault="00871608" w:rsidP="00871608">
            <w:pPr>
              <w:spacing w:before="120" w:after="120"/>
              <w:rPr>
                <w:b/>
                <w:bCs/>
                <w:color w:val="000000" w:themeColor="text1"/>
                <w:sz w:val="22"/>
                <w:szCs w:val="22"/>
              </w:rPr>
            </w:pPr>
          </w:p>
          <w:p w14:paraId="61111204" w14:textId="6D33EE43" w:rsidR="00871608" w:rsidRPr="00A045C2" w:rsidRDefault="00871608" w:rsidP="00871608">
            <w:pPr>
              <w:spacing w:before="120" w:after="120"/>
              <w:rPr>
                <w:b/>
                <w:bCs/>
                <w:color w:val="000000" w:themeColor="text1"/>
                <w:sz w:val="22"/>
                <w:szCs w:val="22"/>
              </w:rPr>
            </w:pPr>
            <w:r>
              <w:rPr>
                <w:b/>
                <w:bCs/>
                <w:color w:val="000000" w:themeColor="text1"/>
                <w:sz w:val="22"/>
                <w:szCs w:val="22"/>
              </w:rPr>
              <w:t>Continuous improvement</w:t>
            </w:r>
          </w:p>
        </w:tc>
        <w:tc>
          <w:tcPr>
            <w:tcW w:w="7344" w:type="dxa"/>
            <w:gridSpan w:val="2"/>
          </w:tcPr>
          <w:p w14:paraId="7C488269" w14:textId="77777777" w:rsidR="00871608" w:rsidRPr="007846B5" w:rsidRDefault="00871608" w:rsidP="00871608">
            <w:pPr>
              <w:spacing w:before="120" w:after="120"/>
              <w:rPr>
                <w:color w:val="000000" w:themeColor="text1"/>
                <w:sz w:val="22"/>
                <w:szCs w:val="22"/>
              </w:rPr>
            </w:pPr>
            <w:r w:rsidRPr="007846B5">
              <w:rPr>
                <w:color w:val="000000" w:themeColor="text1"/>
                <w:sz w:val="22"/>
                <w:szCs w:val="22"/>
              </w:rPr>
              <w:t xml:space="preserve">The </w:t>
            </w:r>
            <w:r>
              <w:rPr>
                <w:color w:val="000000" w:themeColor="text1"/>
                <w:sz w:val="22"/>
                <w:szCs w:val="22"/>
              </w:rPr>
              <w:t xml:space="preserve">Subcommittee </w:t>
            </w:r>
            <w:r w:rsidRPr="007846B5">
              <w:rPr>
                <w:color w:val="000000" w:themeColor="text1"/>
                <w:sz w:val="22"/>
                <w:szCs w:val="22"/>
              </w:rPr>
              <w:t>utilises a continuous improvement approach in its delegation.</w:t>
            </w:r>
          </w:p>
          <w:p w14:paraId="66ED077B" w14:textId="04C002F0" w:rsidR="00871608" w:rsidRPr="00A045C2" w:rsidRDefault="00871608" w:rsidP="00871608">
            <w:pPr>
              <w:spacing w:before="120" w:after="120"/>
              <w:rPr>
                <w:color w:val="000000" w:themeColor="text1"/>
                <w:sz w:val="22"/>
                <w:szCs w:val="22"/>
              </w:rPr>
            </w:pPr>
            <w:r w:rsidRPr="007846B5">
              <w:rPr>
                <w:color w:val="000000" w:themeColor="text1"/>
                <w:sz w:val="22"/>
                <w:szCs w:val="22"/>
              </w:rPr>
              <w:t>Members review the effectiveness of the meeting at each sitting.</w:t>
            </w:r>
          </w:p>
        </w:tc>
      </w:tr>
    </w:tbl>
    <w:p w14:paraId="04B7688F" w14:textId="77777777" w:rsidR="003349B8" w:rsidRPr="007846B5" w:rsidRDefault="003349B8" w:rsidP="003349B8">
      <w:pPr>
        <w:ind w:left="567"/>
        <w:rPr>
          <w:rFonts w:eastAsia="Times New Roman"/>
          <w:sz w:val="22"/>
          <w:szCs w:val="22"/>
        </w:rPr>
      </w:pPr>
    </w:p>
    <w:p w14:paraId="0B32DF50" w14:textId="77777777" w:rsidR="003349B8" w:rsidRPr="007846B5" w:rsidRDefault="003349B8" w:rsidP="003349B8">
      <w:pPr>
        <w:widowControl w:val="0"/>
        <w:spacing w:after="120"/>
        <w:ind w:left="567" w:hanging="567"/>
        <w:outlineLvl w:val="0"/>
        <w:rPr>
          <w:rFonts w:eastAsiaTheme="majorEastAsia" w:cstheme="majorBidi"/>
          <w:b/>
          <w:bCs/>
          <w:sz w:val="28"/>
          <w:szCs w:val="28"/>
        </w:rPr>
      </w:pPr>
      <w:bookmarkStart w:id="48" w:name="_Toc129939314"/>
      <w:bookmarkStart w:id="49" w:name="_Toc129939481"/>
      <w:bookmarkStart w:id="50" w:name="_Toc129939774"/>
      <w:bookmarkStart w:id="51" w:name="_Toc129940155"/>
      <w:bookmarkStart w:id="52" w:name="_Toc131156877"/>
      <w:r w:rsidRPr="007846B5">
        <w:rPr>
          <w:rFonts w:eastAsiaTheme="majorEastAsia" w:cstheme="majorBidi"/>
          <w:b/>
          <w:bCs/>
          <w:sz w:val="28"/>
          <w:szCs w:val="28"/>
        </w:rPr>
        <w:t>Committee meetings</w:t>
      </w:r>
      <w:bookmarkEnd w:id="48"/>
      <w:bookmarkEnd w:id="49"/>
      <w:bookmarkEnd w:id="50"/>
      <w:bookmarkEnd w:id="51"/>
      <w:bookmarkEnd w:id="52"/>
    </w:p>
    <w:p w14:paraId="5417489E" w14:textId="77777777" w:rsidR="00004DE8" w:rsidRPr="007846B5" w:rsidRDefault="00004DE8" w:rsidP="00004DE8">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This section sets out meeting:</w:t>
      </w:r>
    </w:p>
    <w:p w14:paraId="1C49BE86" w14:textId="77777777" w:rsidR="00004DE8" w:rsidRPr="007846B5" w:rsidRDefault="00004DE8" w:rsidP="00004DE8">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Composition and quoracy</w:t>
      </w:r>
    </w:p>
    <w:p w14:paraId="541EEE73" w14:textId="77777777" w:rsidR="00004DE8" w:rsidRPr="007846B5" w:rsidRDefault="00004DE8" w:rsidP="00004DE8">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 xml:space="preserve">Frequency and formats </w:t>
      </w:r>
    </w:p>
    <w:p w14:paraId="41AE8E77" w14:textId="77777777" w:rsidR="00004DE8" w:rsidRPr="007846B5" w:rsidRDefault="00004DE8" w:rsidP="00004DE8">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Procedures</w:t>
      </w:r>
    </w:p>
    <w:p w14:paraId="4612D28C" w14:textId="77777777" w:rsidR="003349B8" w:rsidRPr="007846B5" w:rsidRDefault="003349B8" w:rsidP="003349B8">
      <w:pPr>
        <w:spacing w:before="120" w:after="120"/>
        <w:ind w:left="851"/>
        <w:rPr>
          <w:rFonts w:eastAsia="Calibri"/>
          <w:color w:val="000000" w:themeColor="text1"/>
          <w:sz w:val="22"/>
          <w:szCs w:val="22"/>
          <w:lang w:eastAsia="en-GB"/>
        </w:rPr>
      </w:pPr>
    </w:p>
    <w:p w14:paraId="5B240F09"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53" w:name="_Toc129939315"/>
      <w:bookmarkStart w:id="54" w:name="_Toc129939482"/>
      <w:bookmarkStart w:id="55" w:name="_Toc129939775"/>
      <w:bookmarkStart w:id="56" w:name="_Toc129940156"/>
      <w:bookmarkStart w:id="57" w:name="_Toc131156878"/>
      <w:r w:rsidRPr="009A777F">
        <w:rPr>
          <w:rFonts w:eastAsiaTheme="majorEastAsia"/>
          <w:b/>
          <w:bCs/>
          <w:sz w:val="26"/>
          <w:szCs w:val="26"/>
        </w:rPr>
        <w:t>Composition and quoracy</w:t>
      </w:r>
      <w:bookmarkEnd w:id="53"/>
      <w:bookmarkEnd w:id="54"/>
      <w:bookmarkEnd w:id="55"/>
      <w:bookmarkEnd w:id="56"/>
      <w:bookmarkEnd w:id="57"/>
    </w:p>
    <w:p w14:paraId="1161C5BB" w14:textId="77777777" w:rsidR="003349B8" w:rsidRPr="007846B5" w:rsidRDefault="003349B8" w:rsidP="003349B8">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This section sets out the meeting composition and quoracy requirements.</w:t>
      </w:r>
    </w:p>
    <w:p w14:paraId="6EEB5B44" w14:textId="77777777" w:rsidR="003349B8" w:rsidRPr="007846B5" w:rsidRDefault="003349B8" w:rsidP="003349B8">
      <w:pPr>
        <w:spacing w:before="120" w:after="120"/>
        <w:ind w:left="567"/>
        <w:rPr>
          <w:rFonts w:eastAsia="Calibri"/>
          <w:color w:val="000000" w:themeColor="text1"/>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349B8" w:rsidRPr="007846B5" w14:paraId="79881524" w14:textId="77777777" w:rsidTr="00790E9D">
        <w:trPr>
          <w:tblHeader/>
        </w:trPr>
        <w:tc>
          <w:tcPr>
            <w:tcW w:w="1848" w:type="dxa"/>
            <w:shd w:val="clear" w:color="auto" w:fill="EEECE1" w:themeFill="background2"/>
            <w:vAlign w:val="center"/>
          </w:tcPr>
          <w:p w14:paraId="561932B8" w14:textId="77777777" w:rsidR="003349B8" w:rsidRPr="007846B5" w:rsidRDefault="003349B8" w:rsidP="00790E9D">
            <w:pPr>
              <w:spacing w:before="120" w:after="120"/>
              <w:ind w:right="-246"/>
              <w:rPr>
                <w:b/>
                <w:bCs/>
                <w:color w:val="FFFFFF" w:themeColor="background1"/>
                <w:sz w:val="22"/>
                <w:szCs w:val="22"/>
              </w:rPr>
            </w:pPr>
            <w:r w:rsidRPr="007846B5">
              <w:rPr>
                <w:b/>
                <w:bCs/>
                <w:color w:val="000000" w:themeColor="text1"/>
                <w:sz w:val="22"/>
                <w:szCs w:val="22"/>
              </w:rPr>
              <w:lastRenderedPageBreak/>
              <w:t>Composition/ quoracy</w:t>
            </w:r>
          </w:p>
        </w:tc>
        <w:tc>
          <w:tcPr>
            <w:tcW w:w="7088" w:type="dxa"/>
            <w:shd w:val="clear" w:color="auto" w:fill="EEECE1" w:themeFill="background2"/>
            <w:vAlign w:val="center"/>
          </w:tcPr>
          <w:p w14:paraId="1FBB8FCB" w14:textId="77777777" w:rsidR="003349B8" w:rsidRPr="007846B5" w:rsidRDefault="003349B8" w:rsidP="00790E9D">
            <w:pPr>
              <w:spacing w:before="120" w:after="120"/>
              <w:ind w:left="315" w:right="-246" w:hanging="315"/>
              <w:rPr>
                <w:b/>
                <w:bCs/>
                <w:color w:val="FFFFFF" w:themeColor="background1"/>
              </w:rPr>
            </w:pPr>
            <w:r w:rsidRPr="007846B5">
              <w:rPr>
                <w:b/>
                <w:bCs/>
                <w:color w:val="000000" w:themeColor="text1"/>
                <w:sz w:val="22"/>
                <w:szCs w:val="22"/>
              </w:rPr>
              <w:t>Description of expectations</w:t>
            </w:r>
          </w:p>
        </w:tc>
      </w:tr>
      <w:tr w:rsidR="00004DE8" w:rsidRPr="007846B5" w14:paraId="35B03691" w14:textId="77777777" w:rsidTr="00790E9D">
        <w:tc>
          <w:tcPr>
            <w:tcW w:w="1848" w:type="dxa"/>
          </w:tcPr>
          <w:p w14:paraId="74A00155" w14:textId="4B347975"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Chair</w:t>
            </w:r>
          </w:p>
        </w:tc>
        <w:tc>
          <w:tcPr>
            <w:tcW w:w="7088" w:type="dxa"/>
          </w:tcPr>
          <w:p w14:paraId="39601270" w14:textId="0AF21D38" w:rsidR="00004DE8" w:rsidRPr="007846B5" w:rsidRDefault="00004DE8" w:rsidP="00004DE8">
            <w:pPr>
              <w:spacing w:before="120" w:after="120"/>
              <w:rPr>
                <w:color w:val="000000" w:themeColor="text1"/>
                <w:sz w:val="22"/>
                <w:szCs w:val="22"/>
              </w:rPr>
            </w:pPr>
            <w:r w:rsidRPr="007846B5">
              <w:rPr>
                <w:color w:val="000000" w:themeColor="text1"/>
                <w:sz w:val="22"/>
                <w:szCs w:val="22"/>
              </w:rPr>
              <w:t>Appointed for their specific knowledge skills and experience and suitability. (Note: does not need to be a member of the ICB board)</w:t>
            </w:r>
          </w:p>
        </w:tc>
      </w:tr>
      <w:tr w:rsidR="00004DE8" w:rsidRPr="007846B5" w14:paraId="469E8D68" w14:textId="77777777" w:rsidTr="00790E9D">
        <w:tc>
          <w:tcPr>
            <w:tcW w:w="1848" w:type="dxa"/>
          </w:tcPr>
          <w:p w14:paraId="442A3763" w14:textId="0D17D198"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Deputy Chair</w:t>
            </w:r>
          </w:p>
        </w:tc>
        <w:tc>
          <w:tcPr>
            <w:tcW w:w="7088" w:type="dxa"/>
          </w:tcPr>
          <w:p w14:paraId="229B9B39" w14:textId="0906F3BE" w:rsidR="00004DE8" w:rsidRPr="007846B5" w:rsidRDefault="00004DE8" w:rsidP="00004DE8">
            <w:pPr>
              <w:spacing w:before="120" w:after="120"/>
              <w:rPr>
                <w:color w:val="000000" w:themeColor="text1"/>
                <w:sz w:val="22"/>
                <w:szCs w:val="22"/>
              </w:rPr>
            </w:pPr>
            <w:r>
              <w:rPr>
                <w:color w:val="000000" w:themeColor="text1"/>
                <w:sz w:val="22"/>
                <w:szCs w:val="22"/>
              </w:rPr>
              <w:t>Subcommittee</w:t>
            </w:r>
            <w:r w:rsidRPr="007846B5">
              <w:rPr>
                <w:color w:val="000000" w:themeColor="text1"/>
                <w:sz w:val="22"/>
                <w:szCs w:val="22"/>
              </w:rPr>
              <w:t xml:space="preserve"> members may appoint a vice chair from amongst the members.</w:t>
            </w:r>
          </w:p>
        </w:tc>
      </w:tr>
      <w:tr w:rsidR="00004DE8" w:rsidRPr="007846B5" w14:paraId="4BD6012D" w14:textId="77777777" w:rsidTr="00790E9D">
        <w:tc>
          <w:tcPr>
            <w:tcW w:w="1848" w:type="dxa"/>
          </w:tcPr>
          <w:p w14:paraId="1AC0A3F1"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 xml:space="preserve">Absence of Chair or </w:t>
            </w:r>
          </w:p>
          <w:p w14:paraId="62715772" w14:textId="6B5E13A3"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Vice Chair</w:t>
            </w:r>
          </w:p>
        </w:tc>
        <w:tc>
          <w:tcPr>
            <w:tcW w:w="7088" w:type="dxa"/>
          </w:tcPr>
          <w:p w14:paraId="3134A621" w14:textId="7371227F" w:rsidR="00004DE8" w:rsidRPr="007846B5" w:rsidRDefault="00004DE8" w:rsidP="00004DE8">
            <w:pPr>
              <w:spacing w:before="120" w:after="120"/>
              <w:rPr>
                <w:rFonts w:eastAsia="Calibri"/>
                <w:b/>
                <w:bCs/>
                <w:color w:val="000000" w:themeColor="text1"/>
                <w:sz w:val="22"/>
                <w:szCs w:val="22"/>
                <w:lang w:eastAsia="en-GB"/>
              </w:rPr>
            </w:pPr>
            <w:r w:rsidRPr="007846B5">
              <w:rPr>
                <w:rFonts w:eastAsia="Calibri"/>
                <w:color w:val="000000" w:themeColor="text1"/>
                <w:sz w:val="22"/>
                <w:szCs w:val="22"/>
                <w:lang w:eastAsia="en-GB"/>
              </w:rPr>
              <w:t>In the absence of the chair, or vice chair, the remaining members present elects one of their number to Chair the meeting.</w:t>
            </w:r>
          </w:p>
        </w:tc>
      </w:tr>
      <w:tr w:rsidR="00004DE8" w:rsidRPr="007846B5" w14:paraId="4C4778DC" w14:textId="77777777" w:rsidTr="00790E9D">
        <w:tc>
          <w:tcPr>
            <w:tcW w:w="1848" w:type="dxa"/>
          </w:tcPr>
          <w:p w14:paraId="6BF7F63C"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Membership</w:t>
            </w:r>
          </w:p>
        </w:tc>
        <w:tc>
          <w:tcPr>
            <w:tcW w:w="7088" w:type="dxa"/>
          </w:tcPr>
          <w:p w14:paraId="56FF8197" w14:textId="77777777" w:rsidR="00004DE8" w:rsidRPr="007846B5" w:rsidRDefault="00004DE8" w:rsidP="00004DE8">
            <w:pPr>
              <w:spacing w:before="120" w:after="120"/>
              <w:rPr>
                <w:sz w:val="22"/>
                <w:szCs w:val="22"/>
              </w:rPr>
            </w:pPr>
            <w:r w:rsidRPr="007846B5">
              <w:rPr>
                <w:sz w:val="22"/>
                <w:szCs w:val="22"/>
              </w:rPr>
              <w:t>The membership will include the following or their deputies as agreed with the Chair:</w:t>
            </w:r>
          </w:p>
          <w:p w14:paraId="231B6422" w14:textId="77777777" w:rsidR="00004DE8" w:rsidRPr="000D38CF" w:rsidRDefault="00004DE8" w:rsidP="00004DE8">
            <w:pPr>
              <w:spacing w:before="120" w:after="120"/>
              <w:rPr>
                <w:b/>
                <w:bCs/>
                <w:color w:val="000000" w:themeColor="text1"/>
                <w:sz w:val="22"/>
                <w:szCs w:val="22"/>
              </w:rPr>
            </w:pPr>
            <w:r w:rsidRPr="000D38CF">
              <w:rPr>
                <w:b/>
                <w:bCs/>
                <w:color w:val="000000" w:themeColor="text1"/>
                <w:sz w:val="22"/>
                <w:szCs w:val="22"/>
              </w:rPr>
              <w:t xml:space="preserve">Core Members: </w:t>
            </w:r>
          </w:p>
          <w:p w14:paraId="6CDD43DE" w14:textId="77777777" w:rsidR="00004DE8" w:rsidRPr="004E5F0F" w:rsidRDefault="00004DE8" w:rsidP="00004DE8">
            <w:pPr>
              <w:numPr>
                <w:ilvl w:val="0"/>
                <w:numId w:val="34"/>
              </w:numPr>
              <w:spacing w:before="120" w:after="120"/>
              <w:rPr>
                <w:sz w:val="22"/>
                <w:szCs w:val="22"/>
              </w:rPr>
            </w:pPr>
            <w:r w:rsidRPr="004E5F0F">
              <w:rPr>
                <w:sz w:val="22"/>
                <w:szCs w:val="22"/>
              </w:rPr>
              <w:t>Chief Contracting &amp; Procurement Officer</w:t>
            </w:r>
            <w:r>
              <w:rPr>
                <w:sz w:val="22"/>
                <w:szCs w:val="22"/>
              </w:rPr>
              <w:t xml:space="preserve"> (Co-chair)</w:t>
            </w:r>
          </w:p>
          <w:p w14:paraId="7F817B7A" w14:textId="77777777" w:rsidR="00004DE8" w:rsidRPr="004E5F0F" w:rsidRDefault="00004DE8" w:rsidP="00004DE8">
            <w:pPr>
              <w:numPr>
                <w:ilvl w:val="0"/>
                <w:numId w:val="34"/>
              </w:numPr>
              <w:spacing w:before="120" w:after="120"/>
              <w:rPr>
                <w:sz w:val="22"/>
                <w:szCs w:val="22"/>
              </w:rPr>
            </w:pPr>
            <w:r w:rsidRPr="004E5F0F">
              <w:rPr>
                <w:sz w:val="22"/>
                <w:szCs w:val="22"/>
              </w:rPr>
              <w:t>Chief Delivery Officer</w:t>
            </w:r>
            <w:r>
              <w:rPr>
                <w:sz w:val="22"/>
                <w:szCs w:val="22"/>
              </w:rPr>
              <w:t xml:space="preserve"> (Co-chair)</w:t>
            </w:r>
          </w:p>
          <w:p w14:paraId="256B03D0" w14:textId="77777777" w:rsidR="00004DE8" w:rsidRPr="004E5F0F" w:rsidRDefault="00004DE8" w:rsidP="00004DE8">
            <w:pPr>
              <w:numPr>
                <w:ilvl w:val="0"/>
                <w:numId w:val="34"/>
              </w:numPr>
              <w:spacing w:before="120" w:after="120"/>
              <w:rPr>
                <w:sz w:val="22"/>
                <w:szCs w:val="22"/>
              </w:rPr>
            </w:pPr>
            <w:r>
              <w:rPr>
                <w:sz w:val="22"/>
                <w:szCs w:val="22"/>
              </w:rPr>
              <w:t>Director of Delivery</w:t>
            </w:r>
            <w:r w:rsidRPr="004E5F0F">
              <w:rPr>
                <w:sz w:val="22"/>
                <w:szCs w:val="22"/>
              </w:rPr>
              <w:t xml:space="preserve"> </w:t>
            </w:r>
            <w:r>
              <w:rPr>
                <w:sz w:val="22"/>
                <w:szCs w:val="22"/>
              </w:rPr>
              <w:t xml:space="preserve">with the lead </w:t>
            </w:r>
            <w:r w:rsidRPr="004E5F0F">
              <w:rPr>
                <w:sz w:val="22"/>
                <w:szCs w:val="22"/>
              </w:rPr>
              <w:t>for primary care</w:t>
            </w:r>
          </w:p>
          <w:p w14:paraId="157E0C38" w14:textId="77777777" w:rsidR="00004DE8" w:rsidRPr="004E5F0F" w:rsidRDefault="00004DE8" w:rsidP="00004DE8">
            <w:pPr>
              <w:numPr>
                <w:ilvl w:val="0"/>
                <w:numId w:val="34"/>
              </w:numPr>
              <w:spacing w:before="120" w:after="120"/>
              <w:rPr>
                <w:sz w:val="22"/>
                <w:szCs w:val="22"/>
              </w:rPr>
            </w:pPr>
            <w:r w:rsidRPr="004E5F0F">
              <w:rPr>
                <w:sz w:val="22"/>
                <w:szCs w:val="22"/>
              </w:rPr>
              <w:t>Strategic Head of Primary Care from the LDTs</w:t>
            </w:r>
            <w:r>
              <w:rPr>
                <w:sz w:val="22"/>
                <w:szCs w:val="22"/>
              </w:rPr>
              <w:t xml:space="preserve"> x 2 (1 north and 1 south)</w:t>
            </w:r>
          </w:p>
          <w:p w14:paraId="1FA78907" w14:textId="77777777" w:rsidR="00004DE8" w:rsidRPr="004E5F0F" w:rsidRDefault="00004DE8" w:rsidP="00004DE8">
            <w:pPr>
              <w:numPr>
                <w:ilvl w:val="0"/>
                <w:numId w:val="34"/>
              </w:numPr>
              <w:spacing w:before="120" w:after="120"/>
              <w:rPr>
                <w:sz w:val="22"/>
                <w:szCs w:val="22"/>
              </w:rPr>
            </w:pPr>
            <w:r w:rsidRPr="004E5F0F">
              <w:rPr>
                <w:sz w:val="22"/>
                <w:szCs w:val="22"/>
              </w:rPr>
              <w:t>Strategic Heads of Contracting for General Medical, Dentistry</w:t>
            </w:r>
            <w:r>
              <w:rPr>
                <w:sz w:val="22"/>
                <w:szCs w:val="22"/>
              </w:rPr>
              <w:t>,</w:t>
            </w:r>
            <w:r w:rsidRPr="004E5F0F">
              <w:rPr>
                <w:sz w:val="22"/>
                <w:szCs w:val="22"/>
              </w:rPr>
              <w:t xml:space="preserve"> and Pharmacy &amp; Optometry </w:t>
            </w:r>
          </w:p>
          <w:p w14:paraId="79408C5C" w14:textId="77777777" w:rsidR="00004DE8" w:rsidRPr="004E5F0F" w:rsidRDefault="00004DE8" w:rsidP="00004DE8">
            <w:pPr>
              <w:numPr>
                <w:ilvl w:val="0"/>
                <w:numId w:val="34"/>
              </w:numPr>
              <w:spacing w:before="120" w:after="120"/>
              <w:rPr>
                <w:sz w:val="22"/>
                <w:szCs w:val="22"/>
              </w:rPr>
            </w:pPr>
            <w:r w:rsidRPr="004E5F0F">
              <w:rPr>
                <w:sz w:val="22"/>
                <w:szCs w:val="22"/>
              </w:rPr>
              <w:t>Director of Transformation (Primary, community &amp; emergency care)</w:t>
            </w:r>
          </w:p>
          <w:p w14:paraId="3C5595D1" w14:textId="77777777" w:rsidR="00004DE8" w:rsidRPr="004E5F0F" w:rsidRDefault="00004DE8" w:rsidP="00004DE8">
            <w:pPr>
              <w:numPr>
                <w:ilvl w:val="0"/>
                <w:numId w:val="34"/>
              </w:numPr>
              <w:spacing w:before="120" w:after="120"/>
              <w:rPr>
                <w:sz w:val="22"/>
                <w:szCs w:val="22"/>
              </w:rPr>
            </w:pPr>
            <w:r w:rsidRPr="004E5F0F">
              <w:rPr>
                <w:sz w:val="22"/>
                <w:szCs w:val="22"/>
              </w:rPr>
              <w:t>Deputy Director of Transformation (Primary, community &amp; emergency care)</w:t>
            </w:r>
          </w:p>
          <w:p w14:paraId="3A613816" w14:textId="77777777" w:rsidR="00004DE8" w:rsidRPr="004E5F0F" w:rsidRDefault="00004DE8" w:rsidP="00004DE8">
            <w:pPr>
              <w:numPr>
                <w:ilvl w:val="0"/>
                <w:numId w:val="34"/>
              </w:numPr>
              <w:spacing w:before="120" w:after="120"/>
              <w:rPr>
                <w:sz w:val="22"/>
                <w:szCs w:val="22"/>
              </w:rPr>
            </w:pPr>
            <w:r w:rsidRPr="004E5F0F">
              <w:rPr>
                <w:sz w:val="22"/>
                <w:szCs w:val="22"/>
              </w:rPr>
              <w:t xml:space="preserve">Medical </w:t>
            </w:r>
            <w:r>
              <w:rPr>
                <w:sz w:val="22"/>
                <w:szCs w:val="22"/>
              </w:rPr>
              <w:t>D</w:t>
            </w:r>
            <w:r w:rsidRPr="004E5F0F">
              <w:rPr>
                <w:sz w:val="22"/>
                <w:szCs w:val="22"/>
              </w:rPr>
              <w:t>irector</w:t>
            </w:r>
          </w:p>
          <w:p w14:paraId="3EB17092" w14:textId="77777777" w:rsidR="00004DE8" w:rsidRPr="004E5F0F" w:rsidRDefault="00004DE8" w:rsidP="00004DE8">
            <w:pPr>
              <w:numPr>
                <w:ilvl w:val="0"/>
                <w:numId w:val="34"/>
              </w:numPr>
              <w:spacing w:before="120" w:after="120"/>
              <w:rPr>
                <w:sz w:val="22"/>
                <w:szCs w:val="22"/>
              </w:rPr>
            </w:pPr>
            <w:r w:rsidRPr="004E5F0F">
              <w:rPr>
                <w:sz w:val="22"/>
                <w:szCs w:val="22"/>
              </w:rPr>
              <w:t>Nursing / Quality lead</w:t>
            </w:r>
          </w:p>
          <w:p w14:paraId="38385CF1" w14:textId="77777777" w:rsidR="00004DE8" w:rsidRPr="004E5F0F" w:rsidRDefault="00004DE8" w:rsidP="00004DE8">
            <w:pPr>
              <w:numPr>
                <w:ilvl w:val="0"/>
                <w:numId w:val="34"/>
              </w:numPr>
              <w:spacing w:before="120" w:after="120"/>
              <w:rPr>
                <w:sz w:val="22"/>
                <w:szCs w:val="22"/>
              </w:rPr>
            </w:pPr>
            <w:r>
              <w:rPr>
                <w:sz w:val="22"/>
                <w:szCs w:val="22"/>
              </w:rPr>
              <w:t>Clinical Director of Medicines Optimisation and Pharmacy</w:t>
            </w:r>
          </w:p>
          <w:p w14:paraId="65526376" w14:textId="77777777" w:rsidR="00004DE8" w:rsidRPr="004E5F0F" w:rsidRDefault="00004DE8" w:rsidP="00004DE8">
            <w:pPr>
              <w:numPr>
                <w:ilvl w:val="0"/>
                <w:numId w:val="34"/>
              </w:numPr>
              <w:spacing w:before="120" w:after="120"/>
              <w:rPr>
                <w:sz w:val="22"/>
                <w:szCs w:val="22"/>
              </w:rPr>
            </w:pPr>
            <w:r w:rsidRPr="004E5F0F">
              <w:rPr>
                <w:sz w:val="22"/>
                <w:szCs w:val="22"/>
              </w:rPr>
              <w:t xml:space="preserve">Clinical lead for </w:t>
            </w:r>
            <w:r>
              <w:rPr>
                <w:sz w:val="22"/>
                <w:szCs w:val="22"/>
              </w:rPr>
              <w:t>O</w:t>
            </w:r>
            <w:r w:rsidRPr="004E5F0F">
              <w:rPr>
                <w:sz w:val="22"/>
                <w:szCs w:val="22"/>
              </w:rPr>
              <w:t>ptometry</w:t>
            </w:r>
          </w:p>
          <w:p w14:paraId="24BEA4DF" w14:textId="77777777" w:rsidR="00004DE8" w:rsidRPr="004E5F0F" w:rsidRDefault="00004DE8" w:rsidP="00004DE8">
            <w:pPr>
              <w:numPr>
                <w:ilvl w:val="0"/>
                <w:numId w:val="34"/>
              </w:numPr>
              <w:spacing w:before="120" w:after="120"/>
              <w:rPr>
                <w:sz w:val="22"/>
                <w:szCs w:val="22"/>
              </w:rPr>
            </w:pPr>
            <w:r w:rsidRPr="004E5F0F">
              <w:rPr>
                <w:sz w:val="22"/>
                <w:szCs w:val="22"/>
              </w:rPr>
              <w:t xml:space="preserve">Clinical lead for </w:t>
            </w:r>
            <w:r>
              <w:rPr>
                <w:sz w:val="22"/>
                <w:szCs w:val="22"/>
              </w:rPr>
              <w:t>D</w:t>
            </w:r>
            <w:r w:rsidRPr="004E5F0F">
              <w:rPr>
                <w:sz w:val="22"/>
                <w:szCs w:val="22"/>
              </w:rPr>
              <w:t>entistry</w:t>
            </w:r>
          </w:p>
          <w:p w14:paraId="40C7D448" w14:textId="77777777" w:rsidR="00004DE8" w:rsidRPr="00673B6A" w:rsidRDefault="00004DE8" w:rsidP="00004DE8">
            <w:pPr>
              <w:numPr>
                <w:ilvl w:val="0"/>
                <w:numId w:val="34"/>
              </w:numPr>
              <w:spacing w:before="120" w:after="120"/>
              <w:rPr>
                <w:sz w:val="22"/>
                <w:szCs w:val="22"/>
              </w:rPr>
            </w:pPr>
            <w:r>
              <w:rPr>
                <w:sz w:val="22"/>
                <w:szCs w:val="22"/>
              </w:rPr>
              <w:t>Director of Finance</w:t>
            </w:r>
          </w:p>
          <w:p w14:paraId="4D279CC1" w14:textId="77777777" w:rsidR="00004DE8" w:rsidRDefault="00004DE8" w:rsidP="00004DE8">
            <w:pPr>
              <w:spacing w:before="120" w:after="120"/>
              <w:rPr>
                <w:sz w:val="22"/>
                <w:szCs w:val="22"/>
              </w:rPr>
            </w:pPr>
          </w:p>
          <w:p w14:paraId="03B586B6" w14:textId="77777777" w:rsidR="00004DE8" w:rsidRPr="00D0355F" w:rsidRDefault="00004DE8" w:rsidP="00004DE8">
            <w:pPr>
              <w:spacing w:before="120" w:after="120"/>
              <w:rPr>
                <w:sz w:val="22"/>
                <w:szCs w:val="22"/>
              </w:rPr>
            </w:pPr>
            <w:r w:rsidRPr="000D38CF">
              <w:rPr>
                <w:b/>
                <w:bCs/>
                <w:sz w:val="22"/>
                <w:szCs w:val="22"/>
              </w:rPr>
              <w:t>Non-core members</w:t>
            </w:r>
            <w:r>
              <w:rPr>
                <w:b/>
                <w:bCs/>
                <w:sz w:val="22"/>
                <w:szCs w:val="22"/>
              </w:rPr>
              <w:t>:</w:t>
            </w:r>
            <w:r w:rsidRPr="00D0355F">
              <w:rPr>
                <w:sz w:val="22"/>
                <w:szCs w:val="22"/>
              </w:rPr>
              <w:t xml:space="preserve"> – attending for specific items/sections of the Committee as appropriate</w:t>
            </w:r>
          </w:p>
          <w:p w14:paraId="65FDAB7D" w14:textId="77777777" w:rsidR="00004DE8" w:rsidRPr="004E5F0F" w:rsidRDefault="00004DE8" w:rsidP="00004DE8">
            <w:pPr>
              <w:numPr>
                <w:ilvl w:val="0"/>
                <w:numId w:val="34"/>
              </w:numPr>
              <w:spacing w:before="120" w:after="120"/>
              <w:rPr>
                <w:sz w:val="22"/>
                <w:szCs w:val="22"/>
              </w:rPr>
            </w:pPr>
            <w:r w:rsidRPr="004E5F0F">
              <w:rPr>
                <w:sz w:val="22"/>
                <w:szCs w:val="22"/>
              </w:rPr>
              <w:t>Digital lead for primary care</w:t>
            </w:r>
            <w:r>
              <w:rPr>
                <w:sz w:val="22"/>
                <w:szCs w:val="22"/>
              </w:rPr>
              <w:t xml:space="preserve"> (non-voting)</w:t>
            </w:r>
          </w:p>
          <w:p w14:paraId="4FA8BD2A" w14:textId="77777777" w:rsidR="00004DE8" w:rsidRPr="004E5F0F" w:rsidRDefault="00004DE8" w:rsidP="00004DE8">
            <w:pPr>
              <w:numPr>
                <w:ilvl w:val="0"/>
                <w:numId w:val="34"/>
              </w:numPr>
              <w:spacing w:before="120" w:after="120"/>
              <w:rPr>
                <w:sz w:val="22"/>
                <w:szCs w:val="22"/>
              </w:rPr>
            </w:pPr>
            <w:r w:rsidRPr="004E5F0F">
              <w:rPr>
                <w:sz w:val="22"/>
                <w:szCs w:val="22"/>
              </w:rPr>
              <w:t>Estates lead for primary care</w:t>
            </w:r>
            <w:r>
              <w:rPr>
                <w:sz w:val="22"/>
                <w:szCs w:val="22"/>
              </w:rPr>
              <w:t xml:space="preserve"> (non-voting)</w:t>
            </w:r>
          </w:p>
          <w:p w14:paraId="176DDD89" w14:textId="77777777" w:rsidR="00004DE8" w:rsidRDefault="00004DE8" w:rsidP="00004DE8">
            <w:pPr>
              <w:numPr>
                <w:ilvl w:val="0"/>
                <w:numId w:val="34"/>
              </w:numPr>
              <w:spacing w:before="120" w:after="120"/>
              <w:rPr>
                <w:sz w:val="22"/>
                <w:szCs w:val="22"/>
              </w:rPr>
            </w:pPr>
            <w:r w:rsidRPr="004E5F0F">
              <w:rPr>
                <w:sz w:val="22"/>
                <w:szCs w:val="22"/>
              </w:rPr>
              <w:t>Workforce lead</w:t>
            </w:r>
            <w:r>
              <w:rPr>
                <w:sz w:val="22"/>
                <w:szCs w:val="22"/>
              </w:rPr>
              <w:t xml:space="preserve"> (non-voting)</w:t>
            </w:r>
          </w:p>
          <w:p w14:paraId="6CD88C1C" w14:textId="77777777" w:rsidR="00004DE8" w:rsidRPr="004E5F0F" w:rsidRDefault="00004DE8" w:rsidP="00004DE8">
            <w:pPr>
              <w:numPr>
                <w:ilvl w:val="0"/>
                <w:numId w:val="34"/>
              </w:numPr>
              <w:spacing w:before="120" w:after="120"/>
              <w:rPr>
                <w:sz w:val="22"/>
                <w:szCs w:val="22"/>
              </w:rPr>
            </w:pPr>
            <w:r>
              <w:rPr>
                <w:sz w:val="22"/>
                <w:szCs w:val="22"/>
              </w:rPr>
              <w:t>Healthwatch representative (non-voting)</w:t>
            </w:r>
          </w:p>
          <w:p w14:paraId="4A8408FB" w14:textId="77777777" w:rsidR="00004DE8" w:rsidRPr="00D0355F" w:rsidRDefault="00004DE8" w:rsidP="00004DE8">
            <w:pPr>
              <w:spacing w:before="120" w:after="120"/>
              <w:rPr>
                <w:sz w:val="22"/>
                <w:szCs w:val="22"/>
              </w:rPr>
            </w:pPr>
          </w:p>
          <w:p w14:paraId="465953EF" w14:textId="77777777" w:rsidR="00004DE8" w:rsidRPr="00D0355F" w:rsidRDefault="00004DE8" w:rsidP="00004DE8">
            <w:pPr>
              <w:spacing w:before="120" w:after="120"/>
              <w:rPr>
                <w:color w:val="000000" w:themeColor="text1"/>
                <w:sz w:val="22"/>
                <w:szCs w:val="22"/>
              </w:rPr>
            </w:pPr>
            <w:r w:rsidRPr="00D0355F">
              <w:rPr>
                <w:color w:val="000000" w:themeColor="text1"/>
                <w:sz w:val="22"/>
                <w:szCs w:val="22"/>
              </w:rPr>
              <w:lastRenderedPageBreak/>
              <w:t>Deputies may be agreed with the Chair, and where agreed deputies will have the same voting rights as members.</w:t>
            </w:r>
          </w:p>
          <w:p w14:paraId="6BF5CDFD" w14:textId="77777777" w:rsidR="00004DE8" w:rsidRDefault="00004DE8" w:rsidP="00004DE8">
            <w:pPr>
              <w:spacing w:before="120" w:after="120"/>
              <w:rPr>
                <w:color w:val="000000" w:themeColor="text1"/>
              </w:rPr>
            </w:pPr>
            <w:r w:rsidRPr="00311F00">
              <w:rPr>
                <w:color w:val="000000" w:themeColor="text1"/>
              </w:rPr>
              <w:t xml:space="preserve">The </w:t>
            </w:r>
            <w:r>
              <w:rPr>
                <w:color w:val="000000" w:themeColor="text1"/>
              </w:rPr>
              <w:t xml:space="preserve">financial </w:t>
            </w:r>
            <w:r w:rsidRPr="00311F00">
              <w:rPr>
                <w:color w:val="000000" w:themeColor="text1"/>
              </w:rPr>
              <w:t>delegation is enacted through the ICB members on the Committee</w:t>
            </w:r>
            <w:r>
              <w:rPr>
                <w:color w:val="000000" w:themeColor="text1"/>
              </w:rPr>
              <w:t xml:space="preserve"> as below:</w:t>
            </w:r>
          </w:p>
          <w:p w14:paraId="4FEC5EC4" w14:textId="77777777" w:rsidR="00004DE8" w:rsidRPr="005D3C50" w:rsidRDefault="00004DE8" w:rsidP="00004DE8">
            <w:pPr>
              <w:autoSpaceDE w:val="0"/>
              <w:autoSpaceDN w:val="0"/>
              <w:adjustRightInd w:val="0"/>
              <w:rPr>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60"/>
              <w:gridCol w:w="3361"/>
            </w:tblGrid>
            <w:tr w:rsidR="00004DE8" w:rsidRPr="005D3C50" w14:paraId="234CA9DC" w14:textId="77777777" w:rsidTr="00DF1262">
              <w:trPr>
                <w:trHeight w:val="93"/>
              </w:trPr>
              <w:tc>
                <w:tcPr>
                  <w:tcW w:w="6721" w:type="dxa"/>
                  <w:gridSpan w:val="2"/>
                  <w:tcBorders>
                    <w:top w:val="none" w:sz="6" w:space="0" w:color="auto"/>
                    <w:bottom w:val="none" w:sz="6" w:space="0" w:color="auto"/>
                  </w:tcBorders>
                </w:tcPr>
                <w:p w14:paraId="39FC68C9" w14:textId="77777777" w:rsidR="00004DE8" w:rsidRPr="005D3C50" w:rsidRDefault="00004DE8" w:rsidP="00004DE8">
                  <w:pPr>
                    <w:autoSpaceDE w:val="0"/>
                    <w:autoSpaceDN w:val="0"/>
                    <w:adjustRightInd w:val="0"/>
                    <w:rPr>
                      <w:color w:val="000000"/>
                      <w:sz w:val="20"/>
                      <w:szCs w:val="20"/>
                    </w:rPr>
                  </w:pPr>
                  <w:r w:rsidRPr="005D3C50">
                    <w:rPr>
                      <w:color w:val="000000"/>
                      <w:sz w:val="20"/>
                      <w:szCs w:val="20"/>
                    </w:rPr>
                    <w:t xml:space="preserve"> </w:t>
                  </w:r>
                  <w:r w:rsidRPr="005D3C50">
                    <w:rPr>
                      <w:b/>
                      <w:bCs/>
                      <w:color w:val="000000"/>
                      <w:sz w:val="20"/>
                      <w:szCs w:val="20"/>
                    </w:rPr>
                    <w:t xml:space="preserve">Contracting and Primary Care subcommittee </w:t>
                  </w:r>
                  <w:r>
                    <w:rPr>
                      <w:b/>
                      <w:bCs/>
                      <w:color w:val="000000"/>
                      <w:sz w:val="20"/>
                      <w:szCs w:val="20"/>
                    </w:rPr>
                    <w:t xml:space="preserve">commissioning </w:t>
                  </w:r>
                  <w:r w:rsidRPr="005D3C50">
                    <w:rPr>
                      <w:b/>
                      <w:bCs/>
                      <w:color w:val="000000"/>
                      <w:sz w:val="20"/>
                      <w:szCs w:val="20"/>
                    </w:rPr>
                    <w:t xml:space="preserve">budgets: </w:t>
                  </w:r>
                </w:p>
              </w:tc>
            </w:tr>
            <w:tr w:rsidR="00004DE8" w:rsidRPr="005D3C50" w14:paraId="4E28B1A6" w14:textId="77777777" w:rsidTr="00DF1262">
              <w:trPr>
                <w:trHeight w:val="251"/>
              </w:trPr>
              <w:tc>
                <w:tcPr>
                  <w:tcW w:w="3360" w:type="dxa"/>
                  <w:tcBorders>
                    <w:top w:val="none" w:sz="6" w:space="0" w:color="auto"/>
                    <w:bottom w:val="none" w:sz="6" w:space="0" w:color="auto"/>
                    <w:right w:val="none" w:sz="6" w:space="0" w:color="auto"/>
                  </w:tcBorders>
                </w:tcPr>
                <w:p w14:paraId="4F1D114C" w14:textId="77777777" w:rsidR="00004DE8" w:rsidRPr="009D4EBE" w:rsidRDefault="00004DE8" w:rsidP="00004DE8">
                  <w:pPr>
                    <w:autoSpaceDE w:val="0"/>
                    <w:autoSpaceDN w:val="0"/>
                    <w:adjustRightInd w:val="0"/>
                    <w:rPr>
                      <w:color w:val="000000"/>
                      <w:sz w:val="20"/>
                      <w:szCs w:val="20"/>
                    </w:rPr>
                  </w:pPr>
                  <w:r w:rsidRPr="009D4EBE">
                    <w:rPr>
                      <w:color w:val="000000"/>
                      <w:sz w:val="20"/>
                      <w:szCs w:val="20"/>
                    </w:rPr>
                    <w:t xml:space="preserve">Up to £4,999,999 </w:t>
                  </w:r>
                </w:p>
              </w:tc>
              <w:tc>
                <w:tcPr>
                  <w:tcW w:w="3360" w:type="dxa"/>
                  <w:tcBorders>
                    <w:top w:val="none" w:sz="6" w:space="0" w:color="auto"/>
                    <w:left w:val="none" w:sz="6" w:space="0" w:color="auto"/>
                    <w:bottom w:val="none" w:sz="6" w:space="0" w:color="auto"/>
                  </w:tcBorders>
                </w:tcPr>
                <w:p w14:paraId="292D692D" w14:textId="77777777" w:rsidR="00004DE8" w:rsidRPr="009D4EBE" w:rsidRDefault="00004DE8" w:rsidP="00004DE8">
                  <w:pPr>
                    <w:autoSpaceDE w:val="0"/>
                    <w:autoSpaceDN w:val="0"/>
                    <w:adjustRightInd w:val="0"/>
                    <w:rPr>
                      <w:color w:val="000000"/>
                      <w:sz w:val="20"/>
                      <w:szCs w:val="20"/>
                    </w:rPr>
                  </w:pPr>
                  <w:r w:rsidRPr="009D4EBE">
                    <w:rPr>
                      <w:color w:val="000000"/>
                      <w:sz w:val="20"/>
                      <w:szCs w:val="20"/>
                    </w:rPr>
                    <w:t xml:space="preserve">Chief Contracting and Procurement Officer </w:t>
                  </w:r>
                  <w:r w:rsidRPr="009D4EBE">
                    <w:rPr>
                      <w:b/>
                      <w:bCs/>
                      <w:color w:val="000000"/>
                      <w:sz w:val="20"/>
                      <w:szCs w:val="20"/>
                    </w:rPr>
                    <w:t xml:space="preserve">and </w:t>
                  </w:r>
                  <w:r w:rsidRPr="009D4EBE">
                    <w:rPr>
                      <w:color w:val="000000"/>
                      <w:sz w:val="20"/>
                      <w:szCs w:val="20"/>
                    </w:rPr>
                    <w:t xml:space="preserve">Director of Finance </w:t>
                  </w:r>
                </w:p>
              </w:tc>
            </w:tr>
            <w:tr w:rsidR="00004DE8" w:rsidRPr="005D3C50" w14:paraId="636E2E4F" w14:textId="77777777" w:rsidTr="00DF1262">
              <w:trPr>
                <w:trHeight w:val="75"/>
              </w:trPr>
              <w:tc>
                <w:tcPr>
                  <w:tcW w:w="3360" w:type="dxa"/>
                  <w:tcBorders>
                    <w:top w:val="none" w:sz="6" w:space="0" w:color="auto"/>
                    <w:bottom w:val="none" w:sz="6" w:space="0" w:color="auto"/>
                    <w:right w:val="none" w:sz="6" w:space="0" w:color="auto"/>
                  </w:tcBorders>
                </w:tcPr>
                <w:p w14:paraId="0A340007" w14:textId="77777777" w:rsidR="00004DE8" w:rsidRPr="009D4EBE" w:rsidRDefault="00004DE8" w:rsidP="00004DE8">
                  <w:pPr>
                    <w:autoSpaceDE w:val="0"/>
                    <w:autoSpaceDN w:val="0"/>
                    <w:adjustRightInd w:val="0"/>
                    <w:rPr>
                      <w:color w:val="000000"/>
                      <w:sz w:val="20"/>
                      <w:szCs w:val="20"/>
                    </w:rPr>
                  </w:pPr>
                  <w:r w:rsidRPr="009D4EBE">
                    <w:rPr>
                      <w:color w:val="000000"/>
                      <w:sz w:val="20"/>
                      <w:szCs w:val="20"/>
                    </w:rPr>
                    <w:t>Up to £</w:t>
                  </w:r>
                  <w:r>
                    <w:rPr>
                      <w:color w:val="000000"/>
                      <w:sz w:val="20"/>
                      <w:szCs w:val="20"/>
                    </w:rPr>
                    <w:t>4,999,999</w:t>
                  </w:r>
                  <w:r w:rsidRPr="009D4EBE">
                    <w:rPr>
                      <w:color w:val="000000"/>
                      <w:sz w:val="20"/>
                      <w:szCs w:val="20"/>
                    </w:rPr>
                    <w:t xml:space="preserve"> </w:t>
                  </w:r>
                </w:p>
              </w:tc>
              <w:tc>
                <w:tcPr>
                  <w:tcW w:w="3360" w:type="dxa"/>
                  <w:tcBorders>
                    <w:top w:val="none" w:sz="6" w:space="0" w:color="auto"/>
                    <w:left w:val="none" w:sz="6" w:space="0" w:color="auto"/>
                    <w:bottom w:val="none" w:sz="6" w:space="0" w:color="auto"/>
                  </w:tcBorders>
                </w:tcPr>
                <w:p w14:paraId="07F1D467" w14:textId="77777777" w:rsidR="00004DE8" w:rsidRPr="009D4EBE" w:rsidRDefault="00004DE8" w:rsidP="00004DE8">
                  <w:pPr>
                    <w:autoSpaceDE w:val="0"/>
                    <w:autoSpaceDN w:val="0"/>
                    <w:adjustRightInd w:val="0"/>
                    <w:rPr>
                      <w:color w:val="000000"/>
                      <w:sz w:val="20"/>
                      <w:szCs w:val="20"/>
                    </w:rPr>
                  </w:pPr>
                  <w:r w:rsidRPr="009D4EBE">
                    <w:rPr>
                      <w:color w:val="000000"/>
                      <w:sz w:val="20"/>
                      <w:szCs w:val="20"/>
                    </w:rPr>
                    <w:t xml:space="preserve">Director of Contracting and Oversight </w:t>
                  </w:r>
                  <w:r w:rsidRPr="009D4EBE">
                    <w:rPr>
                      <w:b/>
                      <w:bCs/>
                      <w:color w:val="000000"/>
                      <w:sz w:val="20"/>
                      <w:szCs w:val="20"/>
                    </w:rPr>
                    <w:t xml:space="preserve">and </w:t>
                  </w:r>
                  <w:r w:rsidRPr="009D4EBE">
                    <w:rPr>
                      <w:color w:val="000000"/>
                      <w:sz w:val="20"/>
                      <w:szCs w:val="20"/>
                    </w:rPr>
                    <w:t xml:space="preserve">Director of Finance </w:t>
                  </w:r>
                </w:p>
              </w:tc>
            </w:tr>
          </w:tbl>
          <w:p w14:paraId="14F38410" w14:textId="77777777" w:rsidR="00004DE8" w:rsidRPr="007846B5" w:rsidRDefault="00004DE8" w:rsidP="00004DE8">
            <w:pPr>
              <w:rPr>
                <w:color w:val="000000" w:themeColor="text1"/>
                <w:sz w:val="22"/>
                <w:szCs w:val="22"/>
              </w:rPr>
            </w:pPr>
          </w:p>
          <w:p w14:paraId="5D1E1AD9" w14:textId="77777777" w:rsidR="00004DE8" w:rsidRPr="007846B5" w:rsidRDefault="00004DE8" w:rsidP="00004DE8">
            <w:pPr>
              <w:spacing w:before="120" w:after="120"/>
              <w:rPr>
                <w:color w:val="000000" w:themeColor="text1"/>
                <w:sz w:val="22"/>
                <w:szCs w:val="22"/>
              </w:rPr>
            </w:pPr>
            <w:r w:rsidRPr="007846B5">
              <w:rPr>
                <w:b/>
                <w:bCs/>
                <w:color w:val="000000" w:themeColor="text1"/>
                <w:sz w:val="22"/>
                <w:szCs w:val="22"/>
              </w:rPr>
              <w:t>EDI:</w:t>
            </w:r>
            <w:r w:rsidRPr="007846B5">
              <w:rPr>
                <w:color w:val="000000" w:themeColor="text1"/>
                <w:sz w:val="22"/>
                <w:szCs w:val="22"/>
              </w:rPr>
              <w:t xml:space="preserve"> When determining the membership of the group, consideration will be given to diversity and equality.  </w:t>
            </w:r>
          </w:p>
          <w:p w14:paraId="66F8EA25"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 xml:space="preserve">Involvement: </w:t>
            </w:r>
            <w:r w:rsidRPr="007846B5">
              <w:rPr>
                <w:color w:val="000000" w:themeColor="text1"/>
                <w:sz w:val="22"/>
                <w:szCs w:val="22"/>
              </w:rPr>
              <w:t>In determining membership consideration will be given to the need for a patient and public involvement member.</w:t>
            </w:r>
            <w:r w:rsidRPr="007846B5">
              <w:rPr>
                <w:b/>
                <w:bCs/>
                <w:color w:val="000000" w:themeColor="text1"/>
                <w:sz w:val="22"/>
                <w:szCs w:val="22"/>
              </w:rPr>
              <w:t xml:space="preserve"> </w:t>
            </w:r>
          </w:p>
          <w:p w14:paraId="763B7C2F" w14:textId="77777777" w:rsidR="00004DE8" w:rsidRPr="00A969A8" w:rsidRDefault="00004DE8" w:rsidP="00004DE8">
            <w:pPr>
              <w:spacing w:before="120" w:after="120"/>
              <w:rPr>
                <w:color w:val="000000" w:themeColor="text1"/>
              </w:rPr>
            </w:pPr>
            <w:r w:rsidRPr="007846B5">
              <w:rPr>
                <w:b/>
                <w:bCs/>
                <w:color w:val="000000" w:themeColor="text1"/>
                <w:sz w:val="22"/>
                <w:szCs w:val="22"/>
              </w:rPr>
              <w:t>ICS:</w:t>
            </w:r>
            <w:r w:rsidRPr="007846B5">
              <w:rPr>
                <w:color w:val="000000" w:themeColor="text1"/>
                <w:sz w:val="22"/>
                <w:szCs w:val="22"/>
              </w:rPr>
              <w:t xml:space="preserve"> Membership may be from across the Integrated Care System.</w:t>
            </w:r>
            <w:r>
              <w:rPr>
                <w:color w:val="000000" w:themeColor="text1"/>
                <w:sz w:val="22"/>
                <w:szCs w:val="22"/>
              </w:rPr>
              <w:t xml:space="preserve"> </w:t>
            </w:r>
            <w:r w:rsidRPr="007846B5">
              <w:rPr>
                <w:color w:val="000000" w:themeColor="text1"/>
                <w:sz w:val="22"/>
                <w:szCs w:val="22"/>
              </w:rPr>
              <w:t xml:space="preserve"> </w:t>
            </w:r>
          </w:p>
          <w:p w14:paraId="631802BF" w14:textId="77777777" w:rsidR="00004DE8" w:rsidRPr="007846B5" w:rsidRDefault="00004DE8" w:rsidP="00004DE8">
            <w:pPr>
              <w:spacing w:before="120" w:after="120"/>
              <w:rPr>
                <w:color w:val="000000" w:themeColor="text1"/>
                <w:sz w:val="22"/>
                <w:szCs w:val="22"/>
              </w:rPr>
            </w:pPr>
            <w:r w:rsidRPr="007846B5">
              <w:rPr>
                <w:b/>
                <w:bCs/>
                <w:color w:val="000000" w:themeColor="text1"/>
                <w:sz w:val="22"/>
                <w:szCs w:val="22"/>
              </w:rPr>
              <w:t>Conflicts</w:t>
            </w:r>
            <w:r w:rsidRPr="007846B5">
              <w:rPr>
                <w:color w:val="000000" w:themeColor="text1"/>
                <w:sz w:val="22"/>
                <w:szCs w:val="22"/>
              </w:rPr>
              <w:t>: Consideration must be given to material conflicts in the appointment of members.</w:t>
            </w:r>
          </w:p>
          <w:p w14:paraId="17F92685" w14:textId="2B2E33FA" w:rsidR="00004DE8" w:rsidRPr="007846B5" w:rsidRDefault="00004DE8" w:rsidP="00004DE8">
            <w:pPr>
              <w:spacing w:before="120" w:after="120"/>
              <w:rPr>
                <w:color w:val="000000" w:themeColor="text1"/>
                <w:sz w:val="22"/>
                <w:szCs w:val="22"/>
              </w:rPr>
            </w:pPr>
            <w:r w:rsidRPr="007846B5">
              <w:rPr>
                <w:color w:val="000000" w:themeColor="text1"/>
                <w:sz w:val="22"/>
                <w:szCs w:val="22"/>
              </w:rPr>
              <w:t xml:space="preserve"> </w:t>
            </w:r>
          </w:p>
        </w:tc>
      </w:tr>
      <w:tr w:rsidR="00004DE8" w:rsidRPr="007846B5" w14:paraId="1AC2B8B2" w14:textId="77777777" w:rsidTr="00790E9D">
        <w:tc>
          <w:tcPr>
            <w:tcW w:w="1848" w:type="dxa"/>
          </w:tcPr>
          <w:p w14:paraId="6CF460C4"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lastRenderedPageBreak/>
              <w:t>Attendees and procedure for absence</w:t>
            </w:r>
          </w:p>
        </w:tc>
        <w:tc>
          <w:tcPr>
            <w:tcW w:w="7088" w:type="dxa"/>
          </w:tcPr>
          <w:p w14:paraId="689D74E9" w14:textId="77777777" w:rsidR="00004DE8" w:rsidRPr="007846B5" w:rsidRDefault="00004DE8" w:rsidP="00004DE8">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Only members have the right to attend meetings. </w:t>
            </w:r>
          </w:p>
          <w:p w14:paraId="7B9AFECF" w14:textId="77777777" w:rsidR="00004DE8" w:rsidRPr="007846B5" w:rsidRDefault="00004DE8" w:rsidP="00004DE8">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Other attendees: The chair may elect to co-opt additional attendees, where it is in the interests of the activities to do so.</w:t>
            </w:r>
          </w:p>
          <w:p w14:paraId="042E482F"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Procedure for absence:</w:t>
            </w:r>
            <w:r w:rsidRPr="007846B5">
              <w:rPr>
                <w:rFonts w:eastAsia="Times New Roman"/>
                <w:b/>
                <w:bCs/>
                <w:color w:val="000000" w:themeColor="text1"/>
                <w:sz w:val="22"/>
                <w:szCs w:val="22"/>
              </w:rPr>
              <w:t xml:space="preserve"> </w:t>
            </w:r>
          </w:p>
          <w:p w14:paraId="7E93E5A6" w14:textId="77777777" w:rsidR="00004DE8" w:rsidRPr="007846B5" w:rsidRDefault="00004DE8" w:rsidP="00004DE8">
            <w:pPr>
              <w:spacing w:before="120" w:after="120"/>
              <w:rPr>
                <w:color w:val="000000" w:themeColor="text1"/>
                <w:sz w:val="22"/>
                <w:szCs w:val="22"/>
              </w:rPr>
            </w:pPr>
            <w:r w:rsidRPr="007846B5">
              <w:rPr>
                <w:color w:val="000000" w:themeColor="text1"/>
                <w:sz w:val="22"/>
                <w:szCs w:val="22"/>
              </w:rPr>
              <w:t xml:space="preserve">Where a member or any regular attendee of the </w:t>
            </w:r>
            <w:r>
              <w:rPr>
                <w:color w:val="000000" w:themeColor="text1"/>
                <w:sz w:val="22"/>
                <w:szCs w:val="22"/>
              </w:rPr>
              <w:t>Subcommittee</w:t>
            </w:r>
            <w:r w:rsidRPr="007846B5">
              <w:rPr>
                <w:color w:val="000000" w:themeColor="text1"/>
                <w:sz w:val="22"/>
                <w:szCs w:val="22"/>
              </w:rPr>
              <w:t xml:space="preserve"> is unable to attend a meeting, a </w:t>
            </w:r>
            <w:r>
              <w:rPr>
                <w:color w:val="000000" w:themeColor="text1"/>
                <w:sz w:val="22"/>
                <w:szCs w:val="22"/>
              </w:rPr>
              <w:t>nominated deputy</w:t>
            </w:r>
            <w:r w:rsidRPr="007846B5">
              <w:rPr>
                <w:color w:val="000000" w:themeColor="text1"/>
                <w:sz w:val="22"/>
                <w:szCs w:val="22"/>
              </w:rPr>
              <w:t xml:space="preserve"> may be agreed with the chair. </w:t>
            </w:r>
          </w:p>
          <w:p w14:paraId="23C6C00F" w14:textId="0ADE0273" w:rsidR="00004DE8" w:rsidRPr="007846B5" w:rsidRDefault="00004DE8" w:rsidP="00004DE8">
            <w:pPr>
              <w:spacing w:before="120" w:after="120"/>
              <w:rPr>
                <w:color w:val="000000" w:themeColor="text1"/>
                <w:sz w:val="22"/>
                <w:szCs w:val="22"/>
              </w:rPr>
            </w:pPr>
            <w:r w:rsidRPr="007846B5">
              <w:rPr>
                <w:color w:val="000000" w:themeColor="text1"/>
                <w:sz w:val="22"/>
                <w:szCs w:val="22"/>
              </w:rPr>
              <w:t xml:space="preserve">The chair may ask any or all of those who normally attend to withdraw to facilitate open and frank discussion of </w:t>
            </w:r>
            <w:proofErr w:type="gramStart"/>
            <w:r w:rsidRPr="007846B5">
              <w:rPr>
                <w:color w:val="000000" w:themeColor="text1"/>
                <w:sz w:val="22"/>
                <w:szCs w:val="22"/>
              </w:rPr>
              <w:t>particular matters</w:t>
            </w:r>
            <w:proofErr w:type="gramEnd"/>
            <w:r w:rsidRPr="007846B5">
              <w:rPr>
                <w:color w:val="000000" w:themeColor="text1"/>
                <w:sz w:val="22"/>
                <w:szCs w:val="22"/>
              </w:rPr>
              <w:t>.</w:t>
            </w:r>
          </w:p>
        </w:tc>
      </w:tr>
      <w:tr w:rsidR="00004DE8" w:rsidRPr="007846B5" w14:paraId="4977EB01" w14:textId="77777777" w:rsidTr="00790E9D">
        <w:tc>
          <w:tcPr>
            <w:tcW w:w="1848" w:type="dxa"/>
          </w:tcPr>
          <w:p w14:paraId="3B3455D0"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 xml:space="preserve">Quoracy and Procedure for </w:t>
            </w:r>
            <w:proofErr w:type="spellStart"/>
            <w:r w:rsidRPr="007846B5">
              <w:rPr>
                <w:b/>
                <w:bCs/>
                <w:color w:val="000000" w:themeColor="text1"/>
                <w:sz w:val="22"/>
                <w:szCs w:val="22"/>
              </w:rPr>
              <w:t>Inquoracy</w:t>
            </w:r>
            <w:proofErr w:type="spellEnd"/>
          </w:p>
        </w:tc>
        <w:tc>
          <w:tcPr>
            <w:tcW w:w="7088" w:type="dxa"/>
          </w:tcPr>
          <w:p w14:paraId="517CFA46" w14:textId="77777777" w:rsidR="00004DE8" w:rsidRPr="00F2682D" w:rsidRDefault="00004DE8" w:rsidP="00004DE8">
            <w:pPr>
              <w:spacing w:before="120" w:after="120"/>
              <w:rPr>
                <w:i/>
                <w:iCs/>
                <w:color w:val="000000" w:themeColor="text1"/>
                <w:sz w:val="22"/>
                <w:szCs w:val="22"/>
              </w:rPr>
            </w:pPr>
            <w:r w:rsidRPr="007846B5">
              <w:rPr>
                <w:b/>
                <w:color w:val="000000" w:themeColor="text1"/>
                <w:sz w:val="22"/>
                <w:szCs w:val="22"/>
              </w:rPr>
              <w:t>Threshold:</w:t>
            </w:r>
            <w:r w:rsidRPr="007846B5">
              <w:rPr>
                <w:color w:val="000000" w:themeColor="text1"/>
                <w:sz w:val="22"/>
                <w:szCs w:val="22"/>
              </w:rPr>
              <w:t xml:space="preserve"> </w:t>
            </w:r>
            <w:r>
              <w:rPr>
                <w:color w:val="000000" w:themeColor="text1"/>
                <w:sz w:val="22"/>
                <w:szCs w:val="22"/>
              </w:rPr>
              <w:t xml:space="preserve"> </w:t>
            </w:r>
          </w:p>
          <w:p w14:paraId="429A3063" w14:textId="77777777" w:rsidR="00004DE8" w:rsidRPr="00F16B54" w:rsidRDefault="00004DE8" w:rsidP="00004DE8">
            <w:pPr>
              <w:spacing w:before="120" w:after="120"/>
              <w:rPr>
                <w:sz w:val="22"/>
                <w:szCs w:val="22"/>
              </w:rPr>
            </w:pPr>
            <w:r w:rsidRPr="00F16B54">
              <w:rPr>
                <w:sz w:val="22"/>
                <w:szCs w:val="22"/>
              </w:rPr>
              <w:t>A minimum of half the membership which must include:</w:t>
            </w:r>
          </w:p>
          <w:p w14:paraId="303F2174" w14:textId="77777777" w:rsidR="00004DE8" w:rsidRPr="00CB25A4" w:rsidRDefault="00004DE8" w:rsidP="00004DE8">
            <w:pPr>
              <w:pStyle w:val="ListParagraph"/>
              <w:numPr>
                <w:ilvl w:val="0"/>
                <w:numId w:val="34"/>
              </w:numPr>
              <w:spacing w:before="120" w:after="120"/>
              <w:rPr>
                <w:sz w:val="22"/>
                <w:szCs w:val="22"/>
              </w:rPr>
            </w:pPr>
            <w:r w:rsidRPr="00CB25A4">
              <w:rPr>
                <w:sz w:val="22"/>
                <w:szCs w:val="22"/>
              </w:rPr>
              <w:t>Chair or Deputy Chair</w:t>
            </w:r>
          </w:p>
          <w:p w14:paraId="00F330AB" w14:textId="77777777" w:rsidR="00004DE8" w:rsidRPr="00CB25A4" w:rsidRDefault="00004DE8" w:rsidP="00004DE8">
            <w:pPr>
              <w:pStyle w:val="ListParagraph"/>
              <w:numPr>
                <w:ilvl w:val="0"/>
                <w:numId w:val="34"/>
              </w:numPr>
              <w:spacing w:before="120" w:after="120"/>
              <w:rPr>
                <w:color w:val="000000" w:themeColor="text1"/>
                <w:sz w:val="22"/>
                <w:szCs w:val="22"/>
              </w:rPr>
            </w:pPr>
            <w:r w:rsidRPr="00CB25A4">
              <w:rPr>
                <w:sz w:val="22"/>
                <w:szCs w:val="22"/>
              </w:rPr>
              <w:t xml:space="preserve">One Clinician </w:t>
            </w:r>
            <w:r w:rsidRPr="00CB25A4">
              <w:rPr>
                <w:b/>
                <w:bCs/>
                <w:color w:val="000000" w:themeColor="text1"/>
                <w:sz w:val="22"/>
                <w:szCs w:val="22"/>
              </w:rPr>
              <w:t>Absence:</w:t>
            </w:r>
            <w:r w:rsidRPr="00CB25A4">
              <w:rPr>
                <w:color w:val="000000" w:themeColor="text1"/>
                <w:sz w:val="22"/>
                <w:szCs w:val="22"/>
              </w:rPr>
              <w:t xml:space="preserve"> Where members are unable to attend, they should agree this with the chair.</w:t>
            </w:r>
          </w:p>
          <w:p w14:paraId="0C9EB537" w14:textId="77777777" w:rsidR="00004DE8" w:rsidRPr="007846B5" w:rsidRDefault="00004DE8" w:rsidP="00004DE8">
            <w:pPr>
              <w:spacing w:before="120" w:after="120"/>
              <w:ind w:firstLine="32"/>
              <w:rPr>
                <w:b/>
                <w:bCs/>
                <w:color w:val="000000" w:themeColor="text1"/>
                <w:sz w:val="22"/>
                <w:szCs w:val="22"/>
              </w:rPr>
            </w:pPr>
            <w:r w:rsidRPr="007846B5">
              <w:rPr>
                <w:b/>
                <w:bCs/>
                <w:color w:val="000000" w:themeColor="text1"/>
                <w:sz w:val="22"/>
                <w:szCs w:val="22"/>
              </w:rPr>
              <w:t xml:space="preserve">Disqualification: </w:t>
            </w:r>
            <w:r w:rsidRPr="007846B5">
              <w:rPr>
                <w:color w:val="000000" w:themeColor="text1"/>
                <w:sz w:val="22"/>
                <w:szCs w:val="22"/>
              </w:rPr>
              <w:t xml:space="preserve">If any member of the </w:t>
            </w:r>
            <w:r>
              <w:rPr>
                <w:color w:val="000000" w:themeColor="text1"/>
                <w:sz w:val="22"/>
                <w:szCs w:val="22"/>
              </w:rPr>
              <w:t xml:space="preserve">Subcommittee </w:t>
            </w:r>
            <w:r w:rsidRPr="007846B5">
              <w:rPr>
                <w:color w:val="000000" w:themeColor="text1"/>
                <w:sz w:val="22"/>
                <w:szCs w:val="22"/>
              </w:rPr>
              <w:t>is disqualified from participating in an item on the agenda, due to a declared conflict of interest, that individual no longer counts towards the quorum.</w:t>
            </w:r>
            <w:r w:rsidRPr="007846B5">
              <w:rPr>
                <w:b/>
                <w:bCs/>
                <w:color w:val="000000" w:themeColor="text1"/>
                <w:sz w:val="22"/>
                <w:szCs w:val="22"/>
              </w:rPr>
              <w:t xml:space="preserve"> </w:t>
            </w:r>
          </w:p>
          <w:p w14:paraId="44CB61E8" w14:textId="3F9AAF16" w:rsidR="00004DE8" w:rsidRPr="007846B5" w:rsidRDefault="00004DE8" w:rsidP="00004DE8">
            <w:pPr>
              <w:spacing w:before="120" w:after="120"/>
            </w:pPr>
            <w:proofErr w:type="spellStart"/>
            <w:r w:rsidRPr="007846B5">
              <w:rPr>
                <w:b/>
                <w:bCs/>
                <w:color w:val="000000" w:themeColor="text1"/>
                <w:sz w:val="22"/>
                <w:szCs w:val="22"/>
              </w:rPr>
              <w:t>Inquoracy</w:t>
            </w:r>
            <w:proofErr w:type="spellEnd"/>
            <w:r w:rsidRPr="007846B5">
              <w:rPr>
                <w:b/>
                <w:bCs/>
                <w:color w:val="000000" w:themeColor="text1"/>
                <w:sz w:val="22"/>
                <w:szCs w:val="22"/>
              </w:rPr>
              <w:t xml:space="preserve">: </w:t>
            </w:r>
            <w:r w:rsidRPr="007846B5">
              <w:rPr>
                <w:color w:val="000000" w:themeColor="text1"/>
                <w:sz w:val="22"/>
                <w:szCs w:val="22"/>
              </w:rPr>
              <w:t>If the quorum is not reached, the meeting may proceed if those members attending agree, but no decisions may be taken</w:t>
            </w:r>
            <w:r>
              <w:rPr>
                <w:color w:val="000000" w:themeColor="text1"/>
                <w:sz w:val="22"/>
                <w:szCs w:val="22"/>
              </w:rPr>
              <w:t xml:space="preserve"> (if a decision-making Subcommittee)</w:t>
            </w:r>
            <w:r w:rsidRPr="007846B5">
              <w:rPr>
                <w:color w:val="000000" w:themeColor="text1"/>
                <w:sz w:val="22"/>
                <w:szCs w:val="22"/>
              </w:rPr>
              <w:t>.</w:t>
            </w:r>
          </w:p>
        </w:tc>
      </w:tr>
    </w:tbl>
    <w:p w14:paraId="187F6A85" w14:textId="77777777" w:rsidR="003349B8" w:rsidRPr="007846B5" w:rsidRDefault="003349B8" w:rsidP="003349B8">
      <w:pPr>
        <w:spacing w:before="120" w:after="120"/>
        <w:ind w:left="567"/>
        <w:rPr>
          <w:rFonts w:eastAsia="Calibri"/>
          <w:color w:val="000000" w:themeColor="text1"/>
          <w:sz w:val="22"/>
          <w:szCs w:val="22"/>
          <w:lang w:eastAsia="en-GB"/>
        </w:rPr>
      </w:pPr>
    </w:p>
    <w:p w14:paraId="6B262C08"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58" w:name="_Toc129939316"/>
      <w:bookmarkStart w:id="59" w:name="_Toc129939483"/>
      <w:bookmarkStart w:id="60" w:name="_Toc129939776"/>
      <w:bookmarkStart w:id="61" w:name="_Toc129940157"/>
      <w:bookmarkStart w:id="62" w:name="_Toc131156879"/>
      <w:r w:rsidRPr="009A777F">
        <w:rPr>
          <w:rFonts w:eastAsiaTheme="majorEastAsia"/>
          <w:b/>
          <w:bCs/>
          <w:sz w:val="26"/>
          <w:szCs w:val="26"/>
        </w:rPr>
        <w:lastRenderedPageBreak/>
        <w:t>Frequency and formats</w:t>
      </w:r>
      <w:bookmarkEnd w:id="58"/>
      <w:bookmarkEnd w:id="59"/>
      <w:bookmarkEnd w:id="60"/>
      <w:bookmarkEnd w:id="61"/>
      <w:bookmarkEnd w:id="62"/>
    </w:p>
    <w:p w14:paraId="32742631" w14:textId="7BC7810D" w:rsidR="003349B8" w:rsidRPr="007846B5" w:rsidRDefault="003349B8" w:rsidP="003349B8">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 xml:space="preserve">This section on </w:t>
      </w:r>
      <w:r>
        <w:rPr>
          <w:rFonts w:eastAsia="Calibri"/>
          <w:color w:val="000000" w:themeColor="text1"/>
          <w:sz w:val="22"/>
          <w:szCs w:val="22"/>
          <w:lang w:eastAsia="en-GB"/>
        </w:rPr>
        <w:t>subcommittee</w:t>
      </w:r>
      <w:r w:rsidRPr="007846B5">
        <w:rPr>
          <w:rFonts w:eastAsia="Calibri"/>
          <w:color w:val="000000" w:themeColor="text1"/>
          <w:sz w:val="22"/>
          <w:szCs w:val="22"/>
          <w:lang w:eastAsia="en-GB"/>
        </w:rPr>
        <w:t xml:space="preserve"> meetings describes the meeting frequency and formats.</w:t>
      </w:r>
    </w:p>
    <w:p w14:paraId="2CEA063C" w14:textId="77777777" w:rsidR="003349B8" w:rsidRPr="007846B5" w:rsidRDefault="003349B8" w:rsidP="003349B8">
      <w:pPr>
        <w:rPr>
          <w:b/>
          <w:bCs/>
        </w:rPr>
      </w:pPr>
    </w:p>
    <w:p w14:paraId="28FDFCDF" w14:textId="77777777" w:rsidR="003349B8" w:rsidRPr="007846B5" w:rsidRDefault="003349B8" w:rsidP="003349B8">
      <w:pPr>
        <w:rPr>
          <w:b/>
          <w:bCs/>
        </w:rPr>
      </w:pPr>
      <w:r w:rsidRPr="007846B5">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3349B8" w:rsidRPr="007846B5" w14:paraId="5F03080F" w14:textId="77777777" w:rsidTr="00790E9D">
        <w:trPr>
          <w:tblHeader/>
        </w:trPr>
        <w:tc>
          <w:tcPr>
            <w:tcW w:w="1979" w:type="dxa"/>
            <w:gridSpan w:val="2"/>
            <w:shd w:val="clear" w:color="auto" w:fill="EEECE1" w:themeFill="background2"/>
            <w:vAlign w:val="center"/>
          </w:tcPr>
          <w:p w14:paraId="32DABF05" w14:textId="77777777" w:rsidR="003349B8" w:rsidRPr="007846B5" w:rsidRDefault="003349B8" w:rsidP="00790E9D">
            <w:pPr>
              <w:spacing w:before="120" w:after="120"/>
              <w:rPr>
                <w:b/>
                <w:bCs/>
                <w:color w:val="FFFFFF" w:themeColor="background1"/>
                <w:sz w:val="22"/>
                <w:szCs w:val="22"/>
              </w:rPr>
            </w:pPr>
            <w:r w:rsidRPr="007846B5">
              <w:rPr>
                <w:b/>
                <w:bCs/>
                <w:color w:val="000000" w:themeColor="text1"/>
                <w:sz w:val="22"/>
                <w:szCs w:val="22"/>
              </w:rPr>
              <w:t>Frequency/ format</w:t>
            </w:r>
          </w:p>
        </w:tc>
        <w:tc>
          <w:tcPr>
            <w:tcW w:w="6532" w:type="dxa"/>
            <w:shd w:val="clear" w:color="auto" w:fill="EEECE1" w:themeFill="background2"/>
            <w:vAlign w:val="center"/>
          </w:tcPr>
          <w:p w14:paraId="0CDEEBA6" w14:textId="77777777" w:rsidR="003349B8" w:rsidRPr="007846B5" w:rsidRDefault="003349B8" w:rsidP="00790E9D">
            <w:pPr>
              <w:spacing w:before="120" w:after="120"/>
              <w:rPr>
                <w:b/>
                <w:bCs/>
                <w:color w:val="FFFFFF" w:themeColor="background1"/>
                <w:sz w:val="22"/>
                <w:szCs w:val="22"/>
              </w:rPr>
            </w:pPr>
            <w:r w:rsidRPr="007846B5">
              <w:rPr>
                <w:b/>
                <w:bCs/>
                <w:color w:val="000000" w:themeColor="text1"/>
                <w:sz w:val="22"/>
                <w:szCs w:val="22"/>
              </w:rPr>
              <w:t xml:space="preserve">Description </w:t>
            </w:r>
          </w:p>
        </w:tc>
      </w:tr>
      <w:tr w:rsidR="00004DE8" w:rsidRPr="007846B5" w14:paraId="1AC3D198" w14:textId="77777777" w:rsidTr="00790E9D">
        <w:tc>
          <w:tcPr>
            <w:tcW w:w="1848" w:type="dxa"/>
          </w:tcPr>
          <w:p w14:paraId="12590F9A"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Meeting frequency</w:t>
            </w:r>
          </w:p>
        </w:tc>
        <w:tc>
          <w:tcPr>
            <w:tcW w:w="6663" w:type="dxa"/>
            <w:gridSpan w:val="2"/>
          </w:tcPr>
          <w:p w14:paraId="55CEC332" w14:textId="77777777" w:rsidR="00004DE8" w:rsidRPr="00ED5D24" w:rsidRDefault="00004DE8" w:rsidP="00004DE8">
            <w:pPr>
              <w:spacing w:before="120"/>
              <w:rPr>
                <w:color w:val="FF0000"/>
                <w:sz w:val="22"/>
                <w:szCs w:val="22"/>
              </w:rPr>
            </w:pPr>
            <w:r w:rsidRPr="002D270B">
              <w:rPr>
                <w:color w:val="000000" w:themeColor="text1"/>
                <w:sz w:val="22"/>
                <w:szCs w:val="22"/>
              </w:rPr>
              <w:t xml:space="preserve">The </w:t>
            </w:r>
            <w:r>
              <w:rPr>
                <w:color w:val="000000" w:themeColor="text1"/>
                <w:sz w:val="22"/>
                <w:szCs w:val="22"/>
              </w:rPr>
              <w:t>Subcommittee</w:t>
            </w:r>
            <w:r w:rsidRPr="002D270B">
              <w:rPr>
                <w:color w:val="000000" w:themeColor="text1"/>
                <w:sz w:val="22"/>
                <w:szCs w:val="22"/>
              </w:rPr>
              <w:t xml:space="preserve"> will meet </w:t>
            </w:r>
            <w:r>
              <w:rPr>
                <w:color w:val="000000" w:themeColor="text1"/>
                <w:sz w:val="22"/>
                <w:szCs w:val="22"/>
              </w:rPr>
              <w:t>monthly and must meet a minimum of 10 times per year.</w:t>
            </w:r>
          </w:p>
          <w:p w14:paraId="78232F13" w14:textId="77777777" w:rsidR="00004DE8" w:rsidRPr="007846B5" w:rsidRDefault="00004DE8" w:rsidP="00004DE8">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Additional meetings may be convened on an exceptional basis at the discretion of the </w:t>
            </w:r>
            <w:r>
              <w:rPr>
                <w:rFonts w:eastAsia="Calibri"/>
                <w:color w:val="000000" w:themeColor="text1"/>
                <w:sz w:val="22"/>
                <w:szCs w:val="22"/>
                <w:lang w:eastAsia="en-GB"/>
              </w:rPr>
              <w:t xml:space="preserve">Subcommittee </w:t>
            </w:r>
            <w:r w:rsidRPr="007846B5">
              <w:rPr>
                <w:rFonts w:eastAsia="Calibri"/>
                <w:color w:val="000000" w:themeColor="text1"/>
                <w:sz w:val="22"/>
                <w:szCs w:val="22"/>
                <w:lang w:eastAsia="en-GB"/>
              </w:rPr>
              <w:t>chair.</w:t>
            </w:r>
          </w:p>
          <w:p w14:paraId="38D9E8C6" w14:textId="78D1EAE7" w:rsidR="00004DE8" w:rsidRPr="007846B5" w:rsidRDefault="00004DE8" w:rsidP="00004DE8">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The parent committee chair may ask the </w:t>
            </w:r>
            <w:r>
              <w:rPr>
                <w:rFonts w:eastAsia="Calibri"/>
                <w:color w:val="000000" w:themeColor="text1"/>
                <w:sz w:val="22"/>
                <w:szCs w:val="22"/>
                <w:lang w:eastAsia="en-GB"/>
              </w:rPr>
              <w:t xml:space="preserve">Subcommittee </w:t>
            </w:r>
            <w:r w:rsidRPr="007846B5">
              <w:rPr>
                <w:rFonts w:eastAsia="Calibri"/>
                <w:color w:val="000000" w:themeColor="text1"/>
                <w:sz w:val="22"/>
                <w:szCs w:val="22"/>
                <w:lang w:eastAsia="en-GB"/>
              </w:rPr>
              <w:t xml:space="preserve">to convene further meetings to discuss </w:t>
            </w:r>
            <w:proofErr w:type="gramStart"/>
            <w:r w:rsidRPr="007846B5">
              <w:rPr>
                <w:rFonts w:eastAsia="Calibri"/>
                <w:color w:val="000000" w:themeColor="text1"/>
                <w:sz w:val="22"/>
                <w:szCs w:val="22"/>
                <w:lang w:eastAsia="en-GB"/>
              </w:rPr>
              <w:t>particular issues</w:t>
            </w:r>
            <w:proofErr w:type="gramEnd"/>
            <w:r w:rsidRPr="007846B5">
              <w:rPr>
                <w:rFonts w:eastAsia="Calibri"/>
                <w:color w:val="000000" w:themeColor="text1"/>
                <w:sz w:val="22"/>
                <w:szCs w:val="22"/>
                <w:lang w:eastAsia="en-GB"/>
              </w:rPr>
              <w:t xml:space="preserve"> on which they want the </w:t>
            </w:r>
            <w:r>
              <w:rPr>
                <w:rFonts w:eastAsia="Calibri"/>
                <w:color w:val="000000" w:themeColor="text1"/>
                <w:sz w:val="22"/>
                <w:szCs w:val="22"/>
                <w:lang w:eastAsia="en-GB"/>
              </w:rPr>
              <w:t xml:space="preserve">Subcommittee </w:t>
            </w:r>
            <w:r w:rsidRPr="007846B5">
              <w:rPr>
                <w:rFonts w:eastAsia="Calibri"/>
                <w:color w:val="000000" w:themeColor="text1"/>
                <w:sz w:val="22"/>
                <w:szCs w:val="22"/>
                <w:lang w:eastAsia="en-GB"/>
              </w:rPr>
              <w:t xml:space="preserve">’s advice. </w:t>
            </w:r>
          </w:p>
        </w:tc>
      </w:tr>
      <w:tr w:rsidR="00004DE8" w:rsidRPr="007846B5" w14:paraId="02776AF4" w14:textId="77777777" w:rsidTr="00790E9D">
        <w:tc>
          <w:tcPr>
            <w:tcW w:w="1848" w:type="dxa"/>
          </w:tcPr>
          <w:p w14:paraId="654C69A4"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Public vs closed</w:t>
            </w:r>
          </w:p>
        </w:tc>
        <w:tc>
          <w:tcPr>
            <w:tcW w:w="6663" w:type="dxa"/>
            <w:gridSpan w:val="2"/>
          </w:tcPr>
          <w:p w14:paraId="78B81EC4" w14:textId="77777777" w:rsidR="00004DE8" w:rsidRPr="001F35F4" w:rsidRDefault="00004DE8" w:rsidP="00004DE8">
            <w:pPr>
              <w:rPr>
                <w:sz w:val="22"/>
                <w:szCs w:val="22"/>
              </w:rPr>
            </w:pPr>
            <w:r w:rsidRPr="001F35F4">
              <w:rPr>
                <w:sz w:val="22"/>
                <w:szCs w:val="22"/>
              </w:rPr>
              <w:t>Meetings will be held in private.</w:t>
            </w:r>
          </w:p>
          <w:p w14:paraId="2EE7821D" w14:textId="4A8136A5" w:rsidR="00004DE8" w:rsidRPr="007846B5" w:rsidRDefault="00004DE8" w:rsidP="00004DE8">
            <w:pPr>
              <w:spacing w:before="120" w:after="120"/>
              <w:rPr>
                <w:color w:val="000000" w:themeColor="text1"/>
                <w:sz w:val="22"/>
                <w:szCs w:val="22"/>
              </w:rPr>
            </w:pPr>
            <w:r w:rsidRPr="007846B5">
              <w:rPr>
                <w:color w:val="000000" w:themeColor="text1"/>
                <w:sz w:val="22"/>
                <w:szCs w:val="22"/>
              </w:rPr>
              <w:t xml:space="preserve">External Audit, Internal Audit and Local Counter Fraud representatives will have full and unrestricted rights of access to the </w:t>
            </w:r>
            <w:r>
              <w:rPr>
                <w:color w:val="000000" w:themeColor="text1"/>
                <w:sz w:val="22"/>
                <w:szCs w:val="22"/>
              </w:rPr>
              <w:t>Subcommittee.</w:t>
            </w:r>
          </w:p>
        </w:tc>
      </w:tr>
      <w:tr w:rsidR="003349B8" w:rsidRPr="007846B5" w14:paraId="43A37CA0" w14:textId="77777777" w:rsidTr="00790E9D">
        <w:tc>
          <w:tcPr>
            <w:tcW w:w="1848" w:type="dxa"/>
          </w:tcPr>
          <w:p w14:paraId="3A4ED301" w14:textId="77777777" w:rsidR="003349B8" w:rsidRPr="007846B5" w:rsidRDefault="003349B8" w:rsidP="00790E9D">
            <w:pPr>
              <w:spacing w:before="120" w:after="120"/>
              <w:rPr>
                <w:b/>
                <w:bCs/>
                <w:color w:val="000000" w:themeColor="text1"/>
                <w:sz w:val="22"/>
                <w:szCs w:val="22"/>
              </w:rPr>
            </w:pPr>
            <w:r w:rsidRPr="007846B5">
              <w:rPr>
                <w:b/>
                <w:bCs/>
                <w:color w:val="000000" w:themeColor="text1"/>
                <w:sz w:val="22"/>
                <w:szCs w:val="22"/>
              </w:rPr>
              <w:t>Virtual meetings and extra-ordinary meetings</w:t>
            </w:r>
          </w:p>
        </w:tc>
        <w:tc>
          <w:tcPr>
            <w:tcW w:w="6663" w:type="dxa"/>
            <w:gridSpan w:val="2"/>
          </w:tcPr>
          <w:p w14:paraId="7D01A853" w14:textId="3077F278" w:rsidR="003349B8" w:rsidRPr="007846B5" w:rsidRDefault="00004DE8" w:rsidP="00790E9D">
            <w:pPr>
              <w:spacing w:before="120" w:after="120"/>
              <w:rPr>
                <w:color w:val="000000" w:themeColor="text1"/>
                <w:sz w:val="22"/>
                <w:szCs w:val="22"/>
              </w:rPr>
            </w:pPr>
            <w:r w:rsidRPr="007846B5">
              <w:rPr>
                <w:color w:val="000000" w:themeColor="text1"/>
                <w:sz w:val="22"/>
                <w:szCs w:val="22"/>
              </w:rPr>
              <w:t xml:space="preserve">In accordance with the Standing Orders, the </w:t>
            </w:r>
            <w:r>
              <w:rPr>
                <w:color w:val="000000" w:themeColor="text1"/>
                <w:sz w:val="22"/>
                <w:szCs w:val="22"/>
              </w:rPr>
              <w:t xml:space="preserve">Subcommittee </w:t>
            </w:r>
            <w:r w:rsidRPr="007846B5">
              <w:rPr>
                <w:color w:val="000000" w:themeColor="text1"/>
                <w:sz w:val="22"/>
                <w:szCs w:val="22"/>
              </w:rPr>
              <w:t>may meet virtually when necessary and members attending using electronic means will be counted towards the quorum.</w:t>
            </w:r>
          </w:p>
        </w:tc>
      </w:tr>
    </w:tbl>
    <w:p w14:paraId="71F0E55B" w14:textId="77777777" w:rsidR="003349B8" w:rsidRPr="007846B5" w:rsidRDefault="003349B8" w:rsidP="003349B8">
      <w:pPr>
        <w:rPr>
          <w:b/>
          <w:bCs/>
        </w:rPr>
      </w:pPr>
    </w:p>
    <w:p w14:paraId="419BCF17" w14:textId="77777777" w:rsidR="003349B8" w:rsidRPr="009A777F" w:rsidRDefault="003349B8" w:rsidP="003349B8">
      <w:pPr>
        <w:widowControl w:val="0"/>
        <w:numPr>
          <w:ilvl w:val="1"/>
          <w:numId w:val="0"/>
        </w:numPr>
        <w:spacing w:before="240" w:after="120"/>
        <w:ind w:left="567" w:hanging="567"/>
        <w:outlineLvl w:val="1"/>
        <w:rPr>
          <w:rFonts w:eastAsiaTheme="majorEastAsia"/>
          <w:b/>
          <w:bCs/>
          <w:sz w:val="26"/>
          <w:szCs w:val="26"/>
        </w:rPr>
      </w:pPr>
      <w:bookmarkStart w:id="63" w:name="_Toc129939317"/>
      <w:bookmarkStart w:id="64" w:name="_Toc129939484"/>
      <w:bookmarkStart w:id="65" w:name="_Toc129939777"/>
      <w:bookmarkStart w:id="66" w:name="_Toc129940158"/>
      <w:bookmarkStart w:id="67" w:name="_Toc131156880"/>
      <w:r w:rsidRPr="009A777F">
        <w:rPr>
          <w:rFonts w:eastAsiaTheme="majorEastAsia"/>
          <w:b/>
          <w:bCs/>
          <w:sz w:val="26"/>
          <w:szCs w:val="26"/>
        </w:rPr>
        <w:t>Procedures</w:t>
      </w:r>
      <w:bookmarkEnd w:id="63"/>
      <w:bookmarkEnd w:id="64"/>
      <w:bookmarkEnd w:id="65"/>
      <w:bookmarkEnd w:id="66"/>
      <w:bookmarkEnd w:id="67"/>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3349B8" w:rsidRPr="007846B5" w14:paraId="6C40EEB2" w14:textId="77777777" w:rsidTr="00790E9D">
        <w:tc>
          <w:tcPr>
            <w:tcW w:w="1848" w:type="dxa"/>
            <w:shd w:val="clear" w:color="auto" w:fill="EEECE1" w:themeFill="background2"/>
            <w:vAlign w:val="center"/>
          </w:tcPr>
          <w:p w14:paraId="11648917" w14:textId="77777777" w:rsidR="003349B8" w:rsidRPr="007846B5" w:rsidRDefault="003349B8" w:rsidP="00790E9D">
            <w:pPr>
              <w:spacing w:before="120" w:after="120"/>
              <w:rPr>
                <w:b/>
                <w:bCs/>
                <w:color w:val="000000" w:themeColor="text1"/>
                <w:sz w:val="22"/>
                <w:szCs w:val="22"/>
              </w:rPr>
            </w:pPr>
            <w:r w:rsidRPr="007846B5">
              <w:rPr>
                <w:b/>
                <w:bCs/>
                <w:color w:val="000000" w:themeColor="text1"/>
                <w:sz w:val="22"/>
                <w:szCs w:val="22"/>
              </w:rPr>
              <w:t>Procedure</w:t>
            </w:r>
          </w:p>
        </w:tc>
        <w:tc>
          <w:tcPr>
            <w:tcW w:w="6521" w:type="dxa"/>
            <w:shd w:val="clear" w:color="auto" w:fill="EEECE1" w:themeFill="background2"/>
            <w:vAlign w:val="center"/>
          </w:tcPr>
          <w:p w14:paraId="58EBE1C4" w14:textId="77777777" w:rsidR="003349B8" w:rsidRPr="007846B5" w:rsidRDefault="003349B8" w:rsidP="00790E9D">
            <w:pPr>
              <w:spacing w:before="120" w:after="120"/>
              <w:rPr>
                <w:b/>
                <w:bCs/>
                <w:color w:val="000000" w:themeColor="text1"/>
                <w:sz w:val="22"/>
                <w:szCs w:val="22"/>
              </w:rPr>
            </w:pPr>
            <w:r w:rsidRPr="007846B5">
              <w:rPr>
                <w:b/>
                <w:bCs/>
                <w:color w:val="000000" w:themeColor="text1"/>
                <w:sz w:val="22"/>
                <w:szCs w:val="22"/>
              </w:rPr>
              <w:t xml:space="preserve">Description of rules and expectations: </w:t>
            </w:r>
          </w:p>
        </w:tc>
      </w:tr>
      <w:tr w:rsidR="00004DE8" w:rsidRPr="007846B5" w14:paraId="69A92884" w14:textId="77777777" w:rsidTr="00790E9D">
        <w:tc>
          <w:tcPr>
            <w:tcW w:w="1848" w:type="dxa"/>
          </w:tcPr>
          <w:p w14:paraId="12122258"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Agenda</w:t>
            </w:r>
          </w:p>
        </w:tc>
        <w:tc>
          <w:tcPr>
            <w:tcW w:w="6521" w:type="dxa"/>
          </w:tcPr>
          <w:p w14:paraId="59DF80B4" w14:textId="77777777" w:rsidR="00004DE8" w:rsidRPr="007846B5" w:rsidRDefault="00004DE8" w:rsidP="00004DE8">
            <w:pPr>
              <w:spacing w:before="120" w:after="120"/>
              <w:rPr>
                <w:color w:val="000000" w:themeColor="text1"/>
                <w:sz w:val="22"/>
                <w:szCs w:val="22"/>
              </w:rPr>
            </w:pPr>
            <w:r w:rsidRPr="007846B5">
              <w:rPr>
                <w:color w:val="000000" w:themeColor="text1"/>
                <w:sz w:val="22"/>
                <w:szCs w:val="22"/>
              </w:rPr>
              <w:t>The chair is responsible for agreeing the agenda and ensuring matters discussed meet the objectives as set out in these terms of reference.</w:t>
            </w:r>
          </w:p>
          <w:p w14:paraId="3F84EDF2" w14:textId="6E596CA1" w:rsidR="00004DE8" w:rsidRPr="007846B5" w:rsidRDefault="00004DE8" w:rsidP="00004DE8">
            <w:pPr>
              <w:spacing w:before="120" w:after="120"/>
              <w:rPr>
                <w:b/>
                <w:color w:val="000000" w:themeColor="text1"/>
                <w:sz w:val="22"/>
                <w:szCs w:val="22"/>
              </w:rPr>
            </w:pPr>
            <w:r w:rsidRPr="007846B5">
              <w:rPr>
                <w:color w:val="000000" w:themeColor="text1"/>
                <w:sz w:val="22"/>
                <w:szCs w:val="22"/>
              </w:rPr>
              <w:t>Members are expected to identify agenda items for consideration to the chair and any meeting papers using the prescribed format at least 5 working days before the meeting.</w:t>
            </w:r>
          </w:p>
        </w:tc>
      </w:tr>
      <w:tr w:rsidR="00004DE8" w:rsidRPr="007846B5" w14:paraId="5DC1D14E" w14:textId="77777777" w:rsidTr="00790E9D">
        <w:tc>
          <w:tcPr>
            <w:tcW w:w="1848" w:type="dxa"/>
          </w:tcPr>
          <w:p w14:paraId="1984345C" w14:textId="77777777" w:rsidR="00004DE8" w:rsidRPr="007846B5" w:rsidRDefault="00004DE8" w:rsidP="00004DE8">
            <w:pPr>
              <w:spacing w:before="120" w:after="120"/>
              <w:rPr>
                <w:b/>
                <w:bCs/>
                <w:sz w:val="22"/>
                <w:szCs w:val="22"/>
              </w:rPr>
            </w:pPr>
            <w:r w:rsidRPr="007846B5">
              <w:rPr>
                <w:b/>
                <w:bCs/>
                <w:sz w:val="22"/>
                <w:szCs w:val="22"/>
              </w:rPr>
              <w:t>Conflicts of interest</w:t>
            </w:r>
          </w:p>
        </w:tc>
        <w:tc>
          <w:tcPr>
            <w:tcW w:w="6521" w:type="dxa"/>
          </w:tcPr>
          <w:p w14:paraId="33ACAE35" w14:textId="77777777" w:rsidR="00004DE8" w:rsidRPr="007846B5" w:rsidRDefault="00004DE8" w:rsidP="00004DE8">
            <w:pPr>
              <w:rPr>
                <w:sz w:val="22"/>
                <w:szCs w:val="22"/>
              </w:rPr>
            </w:pPr>
            <w:r w:rsidRPr="007846B5">
              <w:rPr>
                <w:b/>
                <w:sz w:val="22"/>
                <w:szCs w:val="22"/>
              </w:rPr>
              <w:t>Declarations:</w:t>
            </w:r>
            <w:r w:rsidRPr="007846B5">
              <w:rPr>
                <w:sz w:val="22"/>
                <w:szCs w:val="22"/>
              </w:rPr>
              <w:t xml:space="preserve"> All members and those in attendance must declare any actual, potential, or perceived conflicts of interest. This is recorded in the minutes.</w:t>
            </w:r>
          </w:p>
          <w:p w14:paraId="53B18ED8" w14:textId="02A40871" w:rsidR="00004DE8" w:rsidRPr="007846B5" w:rsidRDefault="00004DE8" w:rsidP="00004DE8">
            <w:pPr>
              <w:spacing w:before="120" w:after="120"/>
              <w:rPr>
                <w:sz w:val="22"/>
                <w:szCs w:val="22"/>
              </w:rPr>
            </w:pPr>
            <w:r w:rsidRPr="007846B5">
              <w:rPr>
                <w:b/>
                <w:sz w:val="22"/>
                <w:szCs w:val="22"/>
              </w:rPr>
              <w:t>Exclusions:</w:t>
            </w:r>
            <w:r w:rsidRPr="007846B5">
              <w:rPr>
                <w:sz w:val="22"/>
                <w:szCs w:val="22"/>
              </w:rPr>
              <w:t xml:space="preserve"> The </w:t>
            </w:r>
            <w:r>
              <w:rPr>
                <w:sz w:val="22"/>
                <w:szCs w:val="22"/>
              </w:rPr>
              <w:t>Subcommittee</w:t>
            </w:r>
            <w:r w:rsidRPr="007846B5">
              <w:rPr>
                <w:sz w:val="22"/>
                <w:szCs w:val="22"/>
              </w:rPr>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004DE8" w:rsidRPr="007846B5" w14:paraId="572D8354" w14:textId="77777777" w:rsidTr="00790E9D">
        <w:tc>
          <w:tcPr>
            <w:tcW w:w="1848" w:type="dxa"/>
          </w:tcPr>
          <w:p w14:paraId="6F877932"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Decision-making</w:t>
            </w:r>
          </w:p>
        </w:tc>
        <w:tc>
          <w:tcPr>
            <w:tcW w:w="6521" w:type="dxa"/>
          </w:tcPr>
          <w:p w14:paraId="3B416787" w14:textId="7D44AA00" w:rsidR="00004DE8" w:rsidRPr="007846B5" w:rsidRDefault="00004DE8" w:rsidP="00004DE8">
            <w:pPr>
              <w:spacing w:before="120" w:after="120"/>
              <w:rPr>
                <w:color w:val="000000" w:themeColor="text1"/>
                <w:sz w:val="22"/>
                <w:szCs w:val="22"/>
              </w:rPr>
            </w:pPr>
            <w:r w:rsidRPr="007846B5">
              <w:rPr>
                <w:b/>
                <w:color w:val="000000" w:themeColor="text1"/>
                <w:sz w:val="22"/>
                <w:szCs w:val="22"/>
              </w:rPr>
              <w:t>Decisions:</w:t>
            </w:r>
            <w:r w:rsidRPr="007846B5">
              <w:rPr>
                <w:color w:val="000000" w:themeColor="text1"/>
                <w:sz w:val="22"/>
                <w:szCs w:val="22"/>
              </w:rPr>
              <w:t xml:space="preserve">  Decisions are taken in accordance with the Standing Orders and are arrived at by consensus. </w:t>
            </w:r>
          </w:p>
        </w:tc>
      </w:tr>
      <w:tr w:rsidR="00004DE8" w:rsidRPr="007846B5" w14:paraId="2CF5B458" w14:textId="77777777" w:rsidTr="00790E9D">
        <w:tc>
          <w:tcPr>
            <w:tcW w:w="1848" w:type="dxa"/>
          </w:tcPr>
          <w:p w14:paraId="08140CD4" w14:textId="77777777" w:rsidR="00004DE8" w:rsidRPr="007846B5" w:rsidRDefault="00004DE8" w:rsidP="00004DE8">
            <w:pPr>
              <w:spacing w:before="120" w:after="120"/>
              <w:rPr>
                <w:b/>
                <w:bCs/>
                <w:sz w:val="22"/>
                <w:szCs w:val="22"/>
              </w:rPr>
            </w:pPr>
            <w:r w:rsidRPr="007846B5">
              <w:rPr>
                <w:b/>
                <w:bCs/>
                <w:sz w:val="22"/>
                <w:szCs w:val="22"/>
              </w:rPr>
              <w:lastRenderedPageBreak/>
              <w:t>Conduct</w:t>
            </w:r>
          </w:p>
        </w:tc>
        <w:tc>
          <w:tcPr>
            <w:tcW w:w="6521" w:type="dxa"/>
          </w:tcPr>
          <w:p w14:paraId="043CD64B" w14:textId="40AEC5D3" w:rsidR="00004DE8" w:rsidRPr="007846B5" w:rsidRDefault="00004DE8" w:rsidP="00004DE8">
            <w:pPr>
              <w:spacing w:before="120" w:after="120"/>
              <w:rPr>
                <w:b/>
                <w:sz w:val="22"/>
                <w:szCs w:val="22"/>
              </w:rPr>
            </w:pPr>
            <w:r w:rsidRPr="007846B5">
              <w:rPr>
                <w:sz w:val="22"/>
                <w:szCs w:val="22"/>
              </w:rPr>
              <w:t xml:space="preserve">The </w:t>
            </w:r>
            <w:r>
              <w:rPr>
                <w:sz w:val="22"/>
                <w:szCs w:val="22"/>
              </w:rPr>
              <w:t>Subcommittee</w:t>
            </w:r>
            <w:r w:rsidRPr="007846B5">
              <w:rPr>
                <w:sz w:val="22"/>
                <w:szCs w:val="22"/>
              </w:rPr>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r>
              <w:rPr>
                <w:sz w:val="22"/>
                <w:szCs w:val="22"/>
              </w:rPr>
              <w:t>.</w:t>
            </w:r>
          </w:p>
        </w:tc>
      </w:tr>
    </w:tbl>
    <w:p w14:paraId="6914572D" w14:textId="77777777" w:rsidR="003349B8" w:rsidRPr="007846B5" w:rsidRDefault="003349B8" w:rsidP="003349B8">
      <w:pPr>
        <w:ind w:left="567"/>
        <w:rPr>
          <w:b/>
          <w:bCs/>
        </w:rPr>
      </w:pPr>
    </w:p>
    <w:p w14:paraId="4C6156ED" w14:textId="77777777" w:rsidR="003349B8" w:rsidRPr="007846B5" w:rsidRDefault="003349B8" w:rsidP="003349B8">
      <w:pPr>
        <w:ind w:left="567"/>
        <w:rPr>
          <w:b/>
          <w:bCs/>
        </w:rPr>
      </w:pPr>
    </w:p>
    <w:p w14:paraId="4D50AC6C" w14:textId="77777777" w:rsidR="003349B8" w:rsidRPr="007846B5" w:rsidRDefault="003349B8" w:rsidP="003349B8">
      <w:pPr>
        <w:ind w:left="567"/>
        <w:rPr>
          <w:b/>
          <w:bCs/>
        </w:rPr>
      </w:pPr>
    </w:p>
    <w:p w14:paraId="2AF37B69" w14:textId="77777777" w:rsidR="003349B8" w:rsidRPr="007846B5" w:rsidRDefault="003349B8" w:rsidP="003349B8">
      <w:pPr>
        <w:widowControl w:val="0"/>
        <w:spacing w:after="120"/>
        <w:ind w:left="567" w:hanging="567"/>
        <w:outlineLvl w:val="0"/>
        <w:rPr>
          <w:rFonts w:eastAsiaTheme="majorEastAsia" w:cstheme="majorBidi"/>
          <w:b/>
          <w:bCs/>
          <w:sz w:val="28"/>
          <w:szCs w:val="28"/>
        </w:rPr>
      </w:pPr>
      <w:bookmarkStart w:id="68" w:name="_Toc129939318"/>
      <w:bookmarkStart w:id="69" w:name="_Toc129939485"/>
      <w:bookmarkStart w:id="70" w:name="_Toc129939778"/>
      <w:bookmarkStart w:id="71" w:name="_Toc129940159"/>
      <w:bookmarkStart w:id="72" w:name="_Toc131156881"/>
      <w:r w:rsidRPr="007846B5">
        <w:rPr>
          <w:rFonts w:eastAsiaTheme="majorEastAsia" w:cstheme="majorBidi"/>
          <w:b/>
          <w:bCs/>
          <w:sz w:val="28"/>
          <w:szCs w:val="28"/>
        </w:rPr>
        <w:t>Secretariat and administration</w:t>
      </w:r>
      <w:bookmarkEnd w:id="68"/>
      <w:bookmarkEnd w:id="69"/>
      <w:bookmarkEnd w:id="70"/>
      <w:bookmarkEnd w:id="71"/>
      <w:bookmarkEnd w:id="72"/>
      <w:r w:rsidRPr="007846B5">
        <w:rPr>
          <w:rFonts w:eastAsiaTheme="majorEastAsia" w:cstheme="majorBidi"/>
          <w:b/>
          <w:bCs/>
          <w:sz w:val="28"/>
          <w:szCs w:val="28"/>
        </w:rPr>
        <w:t xml:space="preserve"> </w:t>
      </w:r>
    </w:p>
    <w:p w14:paraId="59D22C42" w14:textId="0D5F7738" w:rsidR="003349B8" w:rsidRPr="007846B5" w:rsidRDefault="003349B8" w:rsidP="003349B8">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 xml:space="preserve">This section describes the functions of the secretariat whose role is to support the </w:t>
      </w:r>
      <w:r>
        <w:rPr>
          <w:rFonts w:eastAsia="Calibri"/>
          <w:color w:val="000000" w:themeColor="text1"/>
          <w:sz w:val="22"/>
          <w:szCs w:val="22"/>
          <w:lang w:eastAsia="en-GB"/>
        </w:rPr>
        <w:t>subcommittee</w:t>
      </w:r>
      <w:r w:rsidRPr="007846B5">
        <w:rPr>
          <w:rFonts w:eastAsia="Calibri"/>
          <w:color w:val="000000" w:themeColor="text1"/>
          <w:sz w:val="22"/>
          <w:szCs w:val="22"/>
          <w:lang w:eastAsia="en-GB"/>
        </w:rPr>
        <w:t xml:space="preserve"> in the following ways:</w:t>
      </w:r>
    </w:p>
    <w:p w14:paraId="6EF8B3E5" w14:textId="77777777" w:rsidR="003349B8" w:rsidRPr="007846B5" w:rsidRDefault="003349B8" w:rsidP="003349B8">
      <w:pPr>
        <w:spacing w:before="120" w:after="120"/>
        <w:ind w:left="567"/>
        <w:rPr>
          <w:rFonts w:eastAsia="Calibri"/>
          <w:color w:val="000000" w:themeColor="text1"/>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349B8" w:rsidRPr="007846B5" w14:paraId="40ED4489" w14:textId="77777777" w:rsidTr="00790E9D">
        <w:trPr>
          <w:tblHeader/>
        </w:trPr>
        <w:tc>
          <w:tcPr>
            <w:tcW w:w="1848" w:type="dxa"/>
            <w:shd w:val="clear" w:color="auto" w:fill="EEECE1" w:themeFill="background2"/>
          </w:tcPr>
          <w:p w14:paraId="561A42D0" w14:textId="77777777" w:rsidR="003349B8" w:rsidRPr="007846B5" w:rsidRDefault="003349B8" w:rsidP="00790E9D">
            <w:pPr>
              <w:spacing w:before="120" w:after="120"/>
              <w:rPr>
                <w:b/>
                <w:bCs/>
                <w:color w:val="000000" w:themeColor="text1"/>
                <w:sz w:val="22"/>
                <w:szCs w:val="22"/>
              </w:rPr>
            </w:pPr>
            <w:r w:rsidRPr="007846B5">
              <w:rPr>
                <w:b/>
                <w:bCs/>
                <w:color w:val="000000" w:themeColor="text1"/>
                <w:sz w:val="22"/>
                <w:szCs w:val="22"/>
              </w:rPr>
              <w:t>Functions</w:t>
            </w:r>
          </w:p>
        </w:tc>
        <w:tc>
          <w:tcPr>
            <w:tcW w:w="7088" w:type="dxa"/>
            <w:shd w:val="clear" w:color="auto" w:fill="EEECE1" w:themeFill="background2"/>
          </w:tcPr>
          <w:p w14:paraId="488211AF" w14:textId="77777777" w:rsidR="003349B8" w:rsidRPr="007846B5" w:rsidRDefault="003349B8" w:rsidP="00790E9D">
            <w:pPr>
              <w:spacing w:before="120" w:after="120"/>
              <w:rPr>
                <w:b/>
                <w:bCs/>
                <w:color w:val="000000" w:themeColor="text1"/>
                <w:sz w:val="22"/>
                <w:szCs w:val="22"/>
              </w:rPr>
            </w:pPr>
            <w:r w:rsidRPr="007846B5">
              <w:rPr>
                <w:b/>
                <w:bCs/>
                <w:color w:val="000000" w:themeColor="text1"/>
                <w:sz w:val="22"/>
                <w:szCs w:val="22"/>
              </w:rPr>
              <w:t>Description</w:t>
            </w:r>
          </w:p>
        </w:tc>
      </w:tr>
      <w:tr w:rsidR="00004DE8" w:rsidRPr="007846B5" w14:paraId="39E588D3" w14:textId="77777777" w:rsidTr="00790E9D">
        <w:tc>
          <w:tcPr>
            <w:tcW w:w="1848" w:type="dxa"/>
          </w:tcPr>
          <w:p w14:paraId="696B0D11" w14:textId="77777777" w:rsidR="00004DE8" w:rsidRPr="007846B5" w:rsidRDefault="00004DE8" w:rsidP="00004DE8">
            <w:pPr>
              <w:spacing w:before="120" w:after="120"/>
              <w:rPr>
                <w:rFonts w:eastAsia="Times New Roman"/>
                <w:b/>
                <w:bCs/>
                <w:color w:val="000000" w:themeColor="text1"/>
                <w:sz w:val="22"/>
                <w:szCs w:val="22"/>
              </w:rPr>
            </w:pPr>
            <w:r w:rsidRPr="007846B5">
              <w:rPr>
                <w:b/>
                <w:bCs/>
                <w:color w:val="000000" w:themeColor="text1"/>
                <w:sz w:val="22"/>
                <w:szCs w:val="22"/>
              </w:rPr>
              <w:t>Distribute papers</w:t>
            </w:r>
          </w:p>
        </w:tc>
        <w:tc>
          <w:tcPr>
            <w:tcW w:w="7088" w:type="dxa"/>
          </w:tcPr>
          <w:p w14:paraId="4AE12216" w14:textId="0A4D1477" w:rsidR="00004DE8" w:rsidRPr="007846B5" w:rsidRDefault="00004DE8" w:rsidP="00004DE8">
            <w:pPr>
              <w:spacing w:before="120" w:after="120"/>
              <w:rPr>
                <w:color w:val="000000" w:themeColor="text1"/>
                <w:sz w:val="22"/>
                <w:szCs w:val="22"/>
              </w:rPr>
            </w:pPr>
            <w:r w:rsidRPr="007846B5">
              <w:rPr>
                <w:color w:val="000000" w:themeColor="text1"/>
                <w:sz w:val="22"/>
                <w:szCs w:val="22"/>
              </w:rPr>
              <w:t>Prepare and distribute the agenda and papers in accordance with the Standing Orders following their agreement by the chair with the support of the relevant executive lead.</w:t>
            </w:r>
          </w:p>
        </w:tc>
      </w:tr>
      <w:tr w:rsidR="00004DE8" w:rsidRPr="007846B5" w14:paraId="27DBBB18" w14:textId="77777777" w:rsidTr="00790E9D">
        <w:tc>
          <w:tcPr>
            <w:tcW w:w="1848" w:type="dxa"/>
          </w:tcPr>
          <w:p w14:paraId="35BED088" w14:textId="77777777" w:rsidR="00004DE8" w:rsidRPr="007846B5" w:rsidRDefault="00004DE8" w:rsidP="00004DE8">
            <w:pPr>
              <w:spacing w:before="120" w:after="120"/>
              <w:rPr>
                <w:rFonts w:eastAsia="Times New Roman"/>
                <w:b/>
                <w:bCs/>
                <w:color w:val="000000" w:themeColor="text1"/>
                <w:sz w:val="22"/>
                <w:szCs w:val="22"/>
              </w:rPr>
            </w:pPr>
            <w:r w:rsidRPr="007846B5">
              <w:rPr>
                <w:b/>
                <w:bCs/>
                <w:color w:val="000000" w:themeColor="text1"/>
                <w:sz w:val="22"/>
                <w:szCs w:val="22"/>
              </w:rPr>
              <w:t>Monitor attendance</w:t>
            </w:r>
          </w:p>
        </w:tc>
        <w:tc>
          <w:tcPr>
            <w:tcW w:w="7088" w:type="dxa"/>
          </w:tcPr>
          <w:p w14:paraId="7452CEFD" w14:textId="67C66CC7" w:rsidR="00004DE8" w:rsidRPr="007846B5" w:rsidRDefault="00004DE8" w:rsidP="00004DE8">
            <w:pPr>
              <w:spacing w:before="120" w:after="120"/>
              <w:rPr>
                <w:rFonts w:eastAsia="Times New Roman"/>
                <w:bCs/>
                <w:color w:val="000000" w:themeColor="text1"/>
                <w:sz w:val="22"/>
                <w:szCs w:val="22"/>
              </w:rPr>
            </w:pPr>
            <w:r w:rsidRPr="007846B5">
              <w:rPr>
                <w:color w:val="000000" w:themeColor="text1"/>
                <w:sz w:val="22"/>
                <w:szCs w:val="22"/>
              </w:rPr>
              <w:t>Monitor the attendance of those invited to each meeting and highlight to the chair those that are not meeting the minimum attendance requirements.</w:t>
            </w:r>
          </w:p>
        </w:tc>
      </w:tr>
      <w:tr w:rsidR="00004DE8" w:rsidRPr="007846B5" w14:paraId="227CA695" w14:textId="77777777" w:rsidTr="00790E9D">
        <w:tc>
          <w:tcPr>
            <w:tcW w:w="1848" w:type="dxa"/>
          </w:tcPr>
          <w:p w14:paraId="33A552DF" w14:textId="77777777" w:rsidR="00004DE8" w:rsidRPr="007846B5" w:rsidRDefault="00004DE8" w:rsidP="00004DE8">
            <w:pPr>
              <w:spacing w:before="120" w:after="120"/>
              <w:rPr>
                <w:rFonts w:eastAsia="Times New Roman"/>
                <w:b/>
                <w:bCs/>
                <w:color w:val="000000" w:themeColor="text1"/>
                <w:sz w:val="22"/>
                <w:szCs w:val="22"/>
              </w:rPr>
            </w:pPr>
            <w:r w:rsidRPr="007846B5">
              <w:rPr>
                <w:b/>
                <w:bCs/>
                <w:color w:val="000000" w:themeColor="text1"/>
                <w:sz w:val="22"/>
                <w:szCs w:val="22"/>
              </w:rPr>
              <w:t>Maintain records</w:t>
            </w:r>
          </w:p>
        </w:tc>
        <w:tc>
          <w:tcPr>
            <w:tcW w:w="7088" w:type="dxa"/>
          </w:tcPr>
          <w:p w14:paraId="686915F7" w14:textId="5E393426" w:rsidR="00004DE8" w:rsidRPr="007846B5" w:rsidRDefault="00004DE8" w:rsidP="00004DE8">
            <w:pPr>
              <w:spacing w:before="120" w:after="120"/>
              <w:rPr>
                <w:rFonts w:eastAsia="Times New Roman"/>
                <w:bCs/>
                <w:color w:val="000000" w:themeColor="text1"/>
                <w:sz w:val="22"/>
                <w:szCs w:val="22"/>
              </w:rPr>
            </w:pPr>
            <w:r w:rsidRPr="007846B5">
              <w:rPr>
                <w:color w:val="000000" w:themeColor="text1"/>
                <w:sz w:val="22"/>
                <w:szCs w:val="22"/>
              </w:rPr>
              <w:t>Record conflicts of interest</w:t>
            </w:r>
            <w:r>
              <w:rPr>
                <w:color w:val="000000" w:themeColor="text1"/>
                <w:sz w:val="22"/>
                <w:szCs w:val="22"/>
              </w:rPr>
              <w:t>.</w:t>
            </w:r>
          </w:p>
        </w:tc>
      </w:tr>
      <w:tr w:rsidR="00004DE8" w:rsidRPr="007846B5" w14:paraId="510310BA" w14:textId="77777777" w:rsidTr="00790E9D">
        <w:tc>
          <w:tcPr>
            <w:tcW w:w="1848" w:type="dxa"/>
          </w:tcPr>
          <w:p w14:paraId="230F73A7" w14:textId="77777777" w:rsidR="00004DE8" w:rsidRPr="007846B5" w:rsidRDefault="00004DE8" w:rsidP="00004DE8">
            <w:pPr>
              <w:spacing w:before="120" w:after="120"/>
              <w:rPr>
                <w:rFonts w:eastAsia="Times New Roman"/>
                <w:b/>
                <w:bCs/>
                <w:color w:val="000000" w:themeColor="text1"/>
                <w:sz w:val="22"/>
                <w:szCs w:val="22"/>
              </w:rPr>
            </w:pPr>
            <w:r w:rsidRPr="007846B5">
              <w:rPr>
                <w:b/>
                <w:bCs/>
                <w:color w:val="000000" w:themeColor="text1"/>
                <w:sz w:val="22"/>
                <w:szCs w:val="22"/>
              </w:rPr>
              <w:t>Minute Taking</w:t>
            </w:r>
          </w:p>
        </w:tc>
        <w:tc>
          <w:tcPr>
            <w:tcW w:w="7088" w:type="dxa"/>
          </w:tcPr>
          <w:p w14:paraId="22D4991F" w14:textId="34D1B31B" w:rsidR="00004DE8" w:rsidRPr="007846B5" w:rsidRDefault="00004DE8" w:rsidP="00004DE8">
            <w:pPr>
              <w:spacing w:before="120" w:after="120"/>
              <w:rPr>
                <w:rFonts w:eastAsia="Times New Roman"/>
                <w:bCs/>
                <w:color w:val="000000" w:themeColor="text1"/>
                <w:sz w:val="22"/>
                <w:szCs w:val="22"/>
              </w:rPr>
            </w:pPr>
            <w:r w:rsidRPr="007846B5">
              <w:rPr>
                <w:color w:val="000000" w:themeColor="text1"/>
                <w:sz w:val="22"/>
                <w:szCs w:val="22"/>
              </w:rPr>
              <w:t>Take good quality minutes and agree them with the chair. Keep a record of matters arising, action points and issues to be carried forward</w:t>
            </w:r>
            <w:r>
              <w:rPr>
                <w:color w:val="000000" w:themeColor="text1"/>
                <w:sz w:val="22"/>
                <w:szCs w:val="22"/>
              </w:rPr>
              <w:t xml:space="preserve"> within the minutes. </w:t>
            </w:r>
          </w:p>
        </w:tc>
      </w:tr>
      <w:tr w:rsidR="00004DE8" w:rsidRPr="007846B5" w14:paraId="56E85252" w14:textId="77777777" w:rsidTr="00790E9D">
        <w:tc>
          <w:tcPr>
            <w:tcW w:w="1848" w:type="dxa"/>
          </w:tcPr>
          <w:p w14:paraId="7DA5A0EF"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Support for Chair &amp; Committee</w:t>
            </w:r>
          </w:p>
        </w:tc>
        <w:tc>
          <w:tcPr>
            <w:tcW w:w="7088" w:type="dxa"/>
          </w:tcPr>
          <w:p w14:paraId="76C9018D" w14:textId="77777777" w:rsidR="00004DE8" w:rsidRPr="007846B5" w:rsidRDefault="00004DE8" w:rsidP="00004DE8">
            <w:pPr>
              <w:spacing w:before="120" w:after="120"/>
              <w:rPr>
                <w:color w:val="000000" w:themeColor="text1"/>
                <w:sz w:val="22"/>
                <w:szCs w:val="22"/>
              </w:rPr>
            </w:pPr>
            <w:r w:rsidRPr="007846B5">
              <w:rPr>
                <w:color w:val="000000" w:themeColor="text1"/>
                <w:sz w:val="22"/>
                <w:szCs w:val="22"/>
              </w:rPr>
              <w:t>Support the chair in preparing and delivering reports to the parent committee</w:t>
            </w:r>
            <w:r>
              <w:rPr>
                <w:color w:val="000000" w:themeColor="text1"/>
                <w:sz w:val="22"/>
                <w:szCs w:val="22"/>
              </w:rPr>
              <w:t xml:space="preserve"> (when required)</w:t>
            </w:r>
            <w:r w:rsidRPr="007846B5">
              <w:rPr>
                <w:color w:val="000000" w:themeColor="text1"/>
                <w:sz w:val="22"/>
                <w:szCs w:val="22"/>
              </w:rPr>
              <w:t>.</w:t>
            </w:r>
          </w:p>
          <w:p w14:paraId="07F4D6FD" w14:textId="184D7D74" w:rsidR="00004DE8" w:rsidRPr="007846B5" w:rsidRDefault="00004DE8" w:rsidP="00004DE8">
            <w:pPr>
              <w:spacing w:before="120" w:after="120"/>
              <w:rPr>
                <w:color w:val="000000" w:themeColor="text1"/>
                <w:sz w:val="22"/>
                <w:szCs w:val="22"/>
              </w:rPr>
            </w:pPr>
            <w:r w:rsidRPr="007846B5">
              <w:rPr>
                <w:color w:val="000000" w:themeColor="text1"/>
                <w:sz w:val="22"/>
                <w:szCs w:val="22"/>
              </w:rPr>
              <w:t>Take forward action points between meetings and monitor progress against those actions.</w:t>
            </w:r>
          </w:p>
        </w:tc>
      </w:tr>
      <w:tr w:rsidR="00004DE8" w:rsidRPr="007846B5" w14:paraId="77A373FF" w14:textId="77777777" w:rsidTr="00790E9D">
        <w:tc>
          <w:tcPr>
            <w:tcW w:w="1848" w:type="dxa"/>
          </w:tcPr>
          <w:p w14:paraId="29AAE649" w14:textId="77777777" w:rsidR="00004DE8" w:rsidRPr="007846B5" w:rsidRDefault="00004DE8" w:rsidP="00004DE8">
            <w:pPr>
              <w:spacing w:before="120" w:after="120"/>
              <w:rPr>
                <w:b/>
                <w:bCs/>
                <w:color w:val="000000" w:themeColor="text1"/>
                <w:sz w:val="22"/>
                <w:szCs w:val="22"/>
              </w:rPr>
            </w:pPr>
            <w:r w:rsidRPr="007846B5">
              <w:rPr>
                <w:b/>
                <w:bCs/>
                <w:color w:val="000000" w:themeColor="text1"/>
                <w:sz w:val="22"/>
                <w:szCs w:val="22"/>
              </w:rPr>
              <w:t>Provide updates</w:t>
            </w:r>
          </w:p>
        </w:tc>
        <w:tc>
          <w:tcPr>
            <w:tcW w:w="7088" w:type="dxa"/>
          </w:tcPr>
          <w:p w14:paraId="1C5157D6" w14:textId="7BC8A89E" w:rsidR="00004DE8" w:rsidRPr="007846B5" w:rsidRDefault="00004DE8" w:rsidP="00004DE8">
            <w:pPr>
              <w:spacing w:before="120" w:after="120"/>
              <w:rPr>
                <w:rFonts w:eastAsia="Times New Roman"/>
                <w:bCs/>
                <w:color w:val="000000" w:themeColor="text1"/>
                <w:sz w:val="22"/>
                <w:szCs w:val="22"/>
              </w:rPr>
            </w:pPr>
            <w:r w:rsidRPr="007846B5">
              <w:rPr>
                <w:color w:val="000000" w:themeColor="text1"/>
                <w:sz w:val="22"/>
                <w:szCs w:val="22"/>
              </w:rPr>
              <w:t xml:space="preserve">Update the </w:t>
            </w:r>
            <w:r>
              <w:rPr>
                <w:color w:val="000000" w:themeColor="text1"/>
                <w:sz w:val="22"/>
                <w:szCs w:val="22"/>
              </w:rPr>
              <w:t xml:space="preserve">Subcommittee </w:t>
            </w:r>
            <w:r w:rsidRPr="007846B5">
              <w:rPr>
                <w:color w:val="000000" w:themeColor="text1"/>
                <w:sz w:val="22"/>
                <w:szCs w:val="22"/>
              </w:rPr>
              <w:t>on pertinent issues/ areas of interest/ policy developments.</w:t>
            </w:r>
          </w:p>
        </w:tc>
      </w:tr>
      <w:tr w:rsidR="00004DE8" w:rsidRPr="007846B5" w14:paraId="246A51F8" w14:textId="77777777" w:rsidTr="00790E9D">
        <w:tc>
          <w:tcPr>
            <w:tcW w:w="1848" w:type="dxa"/>
          </w:tcPr>
          <w:p w14:paraId="54A5F3DF" w14:textId="77777777" w:rsidR="00004DE8" w:rsidRPr="007846B5" w:rsidRDefault="00004DE8" w:rsidP="00004DE8">
            <w:pPr>
              <w:spacing w:before="120" w:after="120"/>
              <w:rPr>
                <w:b/>
                <w:bCs/>
                <w:sz w:val="22"/>
                <w:szCs w:val="22"/>
              </w:rPr>
            </w:pPr>
            <w:r w:rsidRPr="007846B5">
              <w:rPr>
                <w:b/>
                <w:bCs/>
                <w:sz w:val="22"/>
                <w:szCs w:val="22"/>
              </w:rPr>
              <w:t>Governance advice</w:t>
            </w:r>
          </w:p>
        </w:tc>
        <w:tc>
          <w:tcPr>
            <w:tcW w:w="7088" w:type="dxa"/>
          </w:tcPr>
          <w:p w14:paraId="7D89A420" w14:textId="1209D11D" w:rsidR="00004DE8" w:rsidRPr="007846B5" w:rsidRDefault="00004DE8" w:rsidP="00004DE8">
            <w:pPr>
              <w:spacing w:before="120" w:after="120"/>
              <w:ind w:right="-112"/>
              <w:rPr>
                <w:sz w:val="22"/>
                <w:szCs w:val="22"/>
              </w:rPr>
            </w:pPr>
            <w:r w:rsidRPr="007846B5">
              <w:rPr>
                <w:sz w:val="22"/>
                <w:szCs w:val="22"/>
              </w:rPr>
              <w:t xml:space="preserve">Provide easy access to governance advice for </w:t>
            </w:r>
            <w:r>
              <w:rPr>
                <w:sz w:val="22"/>
                <w:szCs w:val="22"/>
              </w:rPr>
              <w:t xml:space="preserve">Subcommittee </w:t>
            </w:r>
            <w:r w:rsidRPr="007846B5">
              <w:rPr>
                <w:sz w:val="22"/>
                <w:szCs w:val="22"/>
              </w:rPr>
              <w:t>members</w:t>
            </w:r>
          </w:p>
        </w:tc>
      </w:tr>
    </w:tbl>
    <w:p w14:paraId="1DD751C4" w14:textId="77777777" w:rsidR="003349B8" w:rsidRPr="007846B5" w:rsidRDefault="003349B8" w:rsidP="003349B8">
      <w:pPr>
        <w:rPr>
          <w:b/>
          <w:bCs/>
        </w:rPr>
      </w:pPr>
    </w:p>
    <w:p w14:paraId="6868884B" w14:textId="77777777" w:rsidR="003349B8" w:rsidRPr="007846B5" w:rsidRDefault="003349B8" w:rsidP="003349B8">
      <w:pPr>
        <w:rPr>
          <w:b/>
          <w:bCs/>
        </w:rPr>
      </w:pPr>
    </w:p>
    <w:p w14:paraId="6F6DEAEE" w14:textId="77777777" w:rsidR="00C51571" w:rsidRDefault="00C51571" w:rsidP="003349B8">
      <w:pPr>
        <w:widowControl w:val="0"/>
        <w:spacing w:after="120"/>
        <w:ind w:left="567" w:hanging="567"/>
        <w:outlineLvl w:val="0"/>
        <w:rPr>
          <w:rFonts w:eastAsiaTheme="majorEastAsia" w:cstheme="majorBidi"/>
          <w:b/>
          <w:bCs/>
          <w:sz w:val="28"/>
          <w:szCs w:val="28"/>
        </w:rPr>
      </w:pPr>
      <w:bookmarkStart w:id="73" w:name="_Toc129939319"/>
      <w:bookmarkStart w:id="74" w:name="_Toc129939486"/>
      <w:bookmarkStart w:id="75" w:name="_Toc129939779"/>
      <w:bookmarkStart w:id="76" w:name="_Toc129940160"/>
      <w:bookmarkStart w:id="77" w:name="_Toc131156882"/>
    </w:p>
    <w:p w14:paraId="0D419904" w14:textId="46F2E5FD" w:rsidR="003349B8" w:rsidRPr="007846B5" w:rsidRDefault="003349B8" w:rsidP="003349B8">
      <w:pPr>
        <w:widowControl w:val="0"/>
        <w:spacing w:after="120"/>
        <w:ind w:left="567" w:hanging="567"/>
        <w:outlineLvl w:val="0"/>
        <w:rPr>
          <w:rFonts w:eastAsiaTheme="majorEastAsia" w:cstheme="majorBidi"/>
          <w:b/>
          <w:bCs/>
          <w:sz w:val="28"/>
          <w:szCs w:val="28"/>
        </w:rPr>
      </w:pPr>
      <w:r w:rsidRPr="007846B5">
        <w:rPr>
          <w:rFonts w:eastAsiaTheme="majorEastAsia" w:cstheme="majorBidi"/>
          <w:b/>
          <w:bCs/>
          <w:sz w:val="28"/>
          <w:szCs w:val="28"/>
        </w:rPr>
        <w:t>Appendix 1: Approval History</w:t>
      </w:r>
      <w:bookmarkEnd w:id="73"/>
      <w:bookmarkEnd w:id="74"/>
      <w:bookmarkEnd w:id="75"/>
      <w:bookmarkEnd w:id="76"/>
      <w:bookmarkEnd w:id="77"/>
    </w:p>
    <w:p w14:paraId="2897D3EB" w14:textId="77777777" w:rsidR="003349B8" w:rsidRPr="007846B5" w:rsidRDefault="003349B8" w:rsidP="003349B8"/>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2126"/>
        <w:gridCol w:w="3119"/>
        <w:gridCol w:w="1701"/>
        <w:gridCol w:w="850"/>
        <w:gridCol w:w="284"/>
      </w:tblGrid>
      <w:tr w:rsidR="003349B8" w:rsidRPr="007846B5" w14:paraId="2CCAE3AE" w14:textId="77777777" w:rsidTr="00FB2592">
        <w:trPr>
          <w:trHeight w:val="463"/>
        </w:trPr>
        <w:tc>
          <w:tcPr>
            <w:tcW w:w="1418" w:type="dxa"/>
            <w:shd w:val="clear" w:color="auto" w:fill="EEECE1" w:themeFill="background2"/>
            <w:vAlign w:val="center"/>
          </w:tcPr>
          <w:p w14:paraId="63A9B151" w14:textId="77777777" w:rsidR="003349B8" w:rsidRPr="007846B5" w:rsidRDefault="003349B8" w:rsidP="00790E9D">
            <w:pPr>
              <w:spacing w:before="120" w:after="120"/>
              <w:rPr>
                <w:b/>
                <w:bCs/>
                <w:color w:val="000000" w:themeColor="text1"/>
                <w:sz w:val="22"/>
              </w:rPr>
            </w:pPr>
            <w:r w:rsidRPr="007846B5">
              <w:rPr>
                <w:b/>
                <w:bCs/>
                <w:color w:val="000000" w:themeColor="text1"/>
                <w:sz w:val="22"/>
              </w:rPr>
              <w:t>Version</w:t>
            </w:r>
          </w:p>
        </w:tc>
        <w:tc>
          <w:tcPr>
            <w:tcW w:w="2126" w:type="dxa"/>
            <w:shd w:val="clear" w:color="auto" w:fill="EEECE1" w:themeFill="background2"/>
            <w:vAlign w:val="center"/>
          </w:tcPr>
          <w:p w14:paraId="00044D31" w14:textId="77777777" w:rsidR="003349B8" w:rsidRPr="007846B5" w:rsidRDefault="003349B8" w:rsidP="00790E9D">
            <w:pPr>
              <w:spacing w:before="120" w:after="120"/>
              <w:rPr>
                <w:b/>
                <w:bCs/>
                <w:color w:val="000000" w:themeColor="text1"/>
                <w:sz w:val="22"/>
              </w:rPr>
            </w:pPr>
            <w:r w:rsidRPr="007846B5">
              <w:rPr>
                <w:b/>
                <w:bCs/>
                <w:color w:val="000000" w:themeColor="text1"/>
                <w:sz w:val="22"/>
              </w:rPr>
              <w:t>Date</w:t>
            </w:r>
          </w:p>
        </w:tc>
        <w:tc>
          <w:tcPr>
            <w:tcW w:w="3119" w:type="dxa"/>
            <w:shd w:val="clear" w:color="auto" w:fill="EEECE1" w:themeFill="background2"/>
            <w:vAlign w:val="center"/>
          </w:tcPr>
          <w:p w14:paraId="4011FF55" w14:textId="77777777" w:rsidR="003349B8" w:rsidRPr="007846B5" w:rsidRDefault="003349B8" w:rsidP="00790E9D">
            <w:pPr>
              <w:spacing w:before="120" w:after="120"/>
              <w:rPr>
                <w:b/>
                <w:bCs/>
                <w:color w:val="000000" w:themeColor="text1"/>
                <w:sz w:val="22"/>
              </w:rPr>
            </w:pPr>
            <w:r w:rsidRPr="007846B5">
              <w:rPr>
                <w:b/>
                <w:bCs/>
                <w:color w:val="000000" w:themeColor="text1"/>
                <w:sz w:val="22"/>
              </w:rPr>
              <w:t>Approved by</w:t>
            </w:r>
          </w:p>
        </w:tc>
        <w:tc>
          <w:tcPr>
            <w:tcW w:w="2551" w:type="dxa"/>
            <w:gridSpan w:val="2"/>
            <w:shd w:val="clear" w:color="auto" w:fill="EEECE1" w:themeFill="background2"/>
          </w:tcPr>
          <w:p w14:paraId="0D7D3201" w14:textId="1504F16E" w:rsidR="003349B8" w:rsidRPr="007846B5" w:rsidRDefault="00FB2592" w:rsidP="00790E9D">
            <w:pPr>
              <w:spacing w:before="120" w:after="120"/>
              <w:rPr>
                <w:b/>
                <w:bCs/>
                <w:color w:val="000000" w:themeColor="text1"/>
                <w:sz w:val="22"/>
              </w:rPr>
            </w:pPr>
            <w:r w:rsidRPr="007846B5">
              <w:rPr>
                <w:b/>
                <w:bCs/>
                <w:color w:val="000000" w:themeColor="text1"/>
                <w:sz w:val="22"/>
              </w:rPr>
              <w:t>Status</w:t>
            </w:r>
          </w:p>
        </w:tc>
        <w:tc>
          <w:tcPr>
            <w:tcW w:w="284" w:type="dxa"/>
            <w:shd w:val="clear" w:color="auto" w:fill="EEECE1" w:themeFill="background2"/>
          </w:tcPr>
          <w:p w14:paraId="16F414B3" w14:textId="705F59CD" w:rsidR="003349B8" w:rsidRPr="007846B5" w:rsidRDefault="003349B8" w:rsidP="00790E9D">
            <w:pPr>
              <w:spacing w:before="120" w:after="120"/>
              <w:ind w:right="-2374"/>
              <w:rPr>
                <w:b/>
                <w:bCs/>
                <w:color w:val="000000" w:themeColor="text1"/>
                <w:sz w:val="22"/>
              </w:rPr>
            </w:pPr>
            <w:r w:rsidRPr="007846B5">
              <w:rPr>
                <w:b/>
                <w:bCs/>
                <w:color w:val="000000" w:themeColor="text1"/>
                <w:sz w:val="22"/>
              </w:rPr>
              <w:t xml:space="preserve">       </w:t>
            </w:r>
          </w:p>
        </w:tc>
      </w:tr>
      <w:tr w:rsidR="00FB2592" w:rsidRPr="007846B5" w14:paraId="5FB722F1" w14:textId="77777777" w:rsidTr="00FB2592">
        <w:trPr>
          <w:trHeight w:val="594"/>
        </w:trPr>
        <w:tc>
          <w:tcPr>
            <w:tcW w:w="1418" w:type="dxa"/>
            <w:tcBorders>
              <w:top w:val="single" w:sz="4" w:space="0" w:color="auto"/>
              <w:bottom w:val="single" w:sz="4" w:space="0" w:color="auto"/>
            </w:tcBorders>
            <w:shd w:val="clear" w:color="auto" w:fill="auto"/>
          </w:tcPr>
          <w:p w14:paraId="7E8D5D14" w14:textId="4A78F35E" w:rsidR="00FB2592" w:rsidRPr="007846B5" w:rsidRDefault="00FB2592" w:rsidP="00FB2592">
            <w:pPr>
              <w:spacing w:before="120" w:after="120"/>
              <w:rPr>
                <w:color w:val="000000" w:themeColor="text1"/>
                <w:sz w:val="22"/>
                <w:highlight w:val="yellow"/>
              </w:rPr>
            </w:pPr>
            <w:r w:rsidRPr="000D38CF">
              <w:rPr>
                <w:color w:val="000000" w:themeColor="text1"/>
                <w:sz w:val="22"/>
              </w:rPr>
              <w:lastRenderedPageBreak/>
              <w:t>V1.0</w:t>
            </w:r>
          </w:p>
        </w:tc>
        <w:tc>
          <w:tcPr>
            <w:tcW w:w="2126" w:type="dxa"/>
            <w:tcBorders>
              <w:top w:val="single" w:sz="4" w:space="0" w:color="auto"/>
              <w:bottom w:val="single" w:sz="4" w:space="0" w:color="auto"/>
            </w:tcBorders>
            <w:shd w:val="clear" w:color="auto" w:fill="auto"/>
          </w:tcPr>
          <w:p w14:paraId="1038C46D" w14:textId="0593F0EC" w:rsidR="00FB2592" w:rsidRPr="007846B5" w:rsidRDefault="00FB2592" w:rsidP="00FB2592">
            <w:pPr>
              <w:spacing w:before="120" w:after="120"/>
              <w:rPr>
                <w:color w:val="000000" w:themeColor="text1"/>
                <w:sz w:val="22"/>
                <w:highlight w:val="yellow"/>
              </w:rPr>
            </w:pPr>
            <w:r w:rsidRPr="000D38CF">
              <w:rPr>
                <w:color w:val="000000" w:themeColor="text1"/>
                <w:sz w:val="22"/>
              </w:rPr>
              <w:t>28/03/2023</w:t>
            </w:r>
          </w:p>
        </w:tc>
        <w:tc>
          <w:tcPr>
            <w:tcW w:w="3119" w:type="dxa"/>
            <w:tcBorders>
              <w:top w:val="single" w:sz="4" w:space="0" w:color="auto"/>
              <w:bottom w:val="single" w:sz="4" w:space="0" w:color="auto"/>
            </w:tcBorders>
            <w:shd w:val="clear" w:color="auto" w:fill="auto"/>
          </w:tcPr>
          <w:p w14:paraId="6CD43C52" w14:textId="4634F420" w:rsidR="00FB2592" w:rsidRPr="007846B5" w:rsidRDefault="00FB2592" w:rsidP="00FB2592">
            <w:pPr>
              <w:spacing w:before="120" w:after="120"/>
              <w:rPr>
                <w:color w:val="000000" w:themeColor="text1"/>
                <w:sz w:val="22"/>
                <w:highlight w:val="yellow"/>
              </w:rPr>
            </w:pPr>
            <w:r w:rsidRPr="000D38CF">
              <w:rPr>
                <w:color w:val="000000" w:themeColor="text1"/>
                <w:sz w:val="22"/>
              </w:rPr>
              <w:t>Board</w:t>
            </w:r>
          </w:p>
        </w:tc>
        <w:tc>
          <w:tcPr>
            <w:tcW w:w="1701" w:type="dxa"/>
            <w:tcBorders>
              <w:top w:val="single" w:sz="4" w:space="0" w:color="auto"/>
              <w:bottom w:val="single" w:sz="4" w:space="0" w:color="auto"/>
            </w:tcBorders>
            <w:shd w:val="clear" w:color="auto" w:fill="auto"/>
          </w:tcPr>
          <w:p w14:paraId="251B14DF" w14:textId="55832BF5" w:rsidR="00FB2592" w:rsidRPr="007846B5" w:rsidRDefault="00FB2592" w:rsidP="00FB2592">
            <w:pPr>
              <w:spacing w:before="120" w:after="120"/>
              <w:rPr>
                <w:color w:val="000000" w:themeColor="text1"/>
                <w:sz w:val="22"/>
                <w:highlight w:val="yellow"/>
              </w:rPr>
            </w:pPr>
            <w:r w:rsidRPr="000D38CF">
              <w:rPr>
                <w:color w:val="000000" w:themeColor="text1"/>
                <w:sz w:val="22"/>
              </w:rPr>
              <w:t xml:space="preserve">First Issue </w:t>
            </w:r>
          </w:p>
        </w:tc>
        <w:tc>
          <w:tcPr>
            <w:tcW w:w="1134" w:type="dxa"/>
            <w:gridSpan w:val="2"/>
            <w:tcBorders>
              <w:top w:val="single" w:sz="4" w:space="0" w:color="auto"/>
              <w:bottom w:val="single" w:sz="4" w:space="0" w:color="auto"/>
            </w:tcBorders>
            <w:shd w:val="clear" w:color="auto" w:fill="auto"/>
          </w:tcPr>
          <w:p w14:paraId="1AFC64E3" w14:textId="57E5F90E" w:rsidR="00FB2592" w:rsidRPr="007846B5" w:rsidRDefault="00FB2592" w:rsidP="00FB2592">
            <w:pPr>
              <w:spacing w:before="120" w:after="120"/>
              <w:rPr>
                <w:color w:val="000000" w:themeColor="text1"/>
                <w:sz w:val="22"/>
                <w:highlight w:val="yellow"/>
              </w:rPr>
            </w:pPr>
          </w:p>
        </w:tc>
      </w:tr>
      <w:tr w:rsidR="00FB2592" w:rsidRPr="007846B5" w14:paraId="06C4DC3E" w14:textId="77777777" w:rsidTr="00FB2592">
        <w:trPr>
          <w:trHeight w:val="594"/>
        </w:trPr>
        <w:tc>
          <w:tcPr>
            <w:tcW w:w="1418" w:type="dxa"/>
            <w:tcBorders>
              <w:top w:val="single" w:sz="4" w:space="0" w:color="auto"/>
              <w:bottom w:val="single" w:sz="4" w:space="0" w:color="auto"/>
            </w:tcBorders>
          </w:tcPr>
          <w:p w14:paraId="0FC46686" w14:textId="69EAE4E0" w:rsidR="00FB2592" w:rsidRPr="007846B5" w:rsidRDefault="00FB2592" w:rsidP="00FB2592">
            <w:pPr>
              <w:spacing w:before="120" w:after="120"/>
              <w:rPr>
                <w:color w:val="000000" w:themeColor="text1"/>
                <w:sz w:val="22"/>
              </w:rPr>
            </w:pPr>
            <w:r>
              <w:rPr>
                <w:color w:val="000000" w:themeColor="text1"/>
                <w:sz w:val="22"/>
              </w:rPr>
              <w:t>V2.0</w:t>
            </w:r>
          </w:p>
        </w:tc>
        <w:tc>
          <w:tcPr>
            <w:tcW w:w="2126" w:type="dxa"/>
            <w:tcBorders>
              <w:top w:val="single" w:sz="4" w:space="0" w:color="auto"/>
              <w:bottom w:val="single" w:sz="4" w:space="0" w:color="auto"/>
            </w:tcBorders>
          </w:tcPr>
          <w:p w14:paraId="7C9DD687" w14:textId="137A3A45" w:rsidR="00FB2592" w:rsidRPr="007846B5" w:rsidRDefault="00FB2592" w:rsidP="00FB2592">
            <w:pPr>
              <w:spacing w:before="120" w:after="120"/>
              <w:rPr>
                <w:color w:val="000000" w:themeColor="text1"/>
                <w:sz w:val="22"/>
              </w:rPr>
            </w:pPr>
            <w:r>
              <w:rPr>
                <w:color w:val="000000" w:themeColor="text1"/>
                <w:sz w:val="22"/>
              </w:rPr>
              <w:t>26/02/2024</w:t>
            </w:r>
          </w:p>
        </w:tc>
        <w:tc>
          <w:tcPr>
            <w:tcW w:w="3119" w:type="dxa"/>
            <w:tcBorders>
              <w:top w:val="single" w:sz="4" w:space="0" w:color="auto"/>
              <w:bottom w:val="single" w:sz="4" w:space="0" w:color="auto"/>
            </w:tcBorders>
          </w:tcPr>
          <w:p w14:paraId="4E3BED8E" w14:textId="2CABC7D3" w:rsidR="00FB2592" w:rsidRPr="007846B5" w:rsidRDefault="00FB2592" w:rsidP="00FB2592">
            <w:pPr>
              <w:spacing w:before="120" w:after="120"/>
              <w:rPr>
                <w:color w:val="000000" w:themeColor="text1"/>
                <w:sz w:val="22"/>
              </w:rPr>
            </w:pPr>
            <w:r>
              <w:rPr>
                <w:color w:val="000000" w:themeColor="text1"/>
                <w:sz w:val="22"/>
              </w:rPr>
              <w:t>Primary Care Strategy and Delivery Subcommittee</w:t>
            </w:r>
          </w:p>
        </w:tc>
        <w:tc>
          <w:tcPr>
            <w:tcW w:w="1701" w:type="dxa"/>
            <w:tcBorders>
              <w:top w:val="single" w:sz="4" w:space="0" w:color="auto"/>
              <w:bottom w:val="single" w:sz="4" w:space="0" w:color="auto"/>
            </w:tcBorders>
          </w:tcPr>
          <w:p w14:paraId="6C154BCE" w14:textId="6E667289" w:rsidR="00FB2592" w:rsidRPr="007846B5" w:rsidRDefault="00FB2592" w:rsidP="00FB2592">
            <w:pPr>
              <w:spacing w:before="120" w:after="120"/>
              <w:ind w:left="294" w:hanging="294"/>
              <w:rPr>
                <w:color w:val="000000" w:themeColor="text1"/>
                <w:sz w:val="22"/>
              </w:rPr>
            </w:pPr>
            <w:r>
              <w:rPr>
                <w:color w:val="000000" w:themeColor="text1"/>
                <w:sz w:val="22"/>
              </w:rPr>
              <w:t>Draft</w:t>
            </w:r>
          </w:p>
        </w:tc>
        <w:tc>
          <w:tcPr>
            <w:tcW w:w="1134" w:type="dxa"/>
            <w:gridSpan w:val="2"/>
            <w:tcBorders>
              <w:top w:val="single" w:sz="4" w:space="0" w:color="auto"/>
              <w:bottom w:val="single" w:sz="4" w:space="0" w:color="auto"/>
            </w:tcBorders>
          </w:tcPr>
          <w:p w14:paraId="080A1B45" w14:textId="2C906CB9" w:rsidR="00FB2592" w:rsidRPr="007846B5" w:rsidRDefault="00FB2592" w:rsidP="00FB2592">
            <w:pPr>
              <w:spacing w:before="120" w:after="120"/>
              <w:rPr>
                <w:color w:val="000000" w:themeColor="text1"/>
                <w:sz w:val="22"/>
              </w:rPr>
            </w:pPr>
          </w:p>
        </w:tc>
      </w:tr>
      <w:tr w:rsidR="00FB2592" w:rsidRPr="007846B5" w14:paraId="616158AA" w14:textId="77777777" w:rsidTr="00FB2592">
        <w:trPr>
          <w:trHeight w:val="594"/>
        </w:trPr>
        <w:tc>
          <w:tcPr>
            <w:tcW w:w="1418" w:type="dxa"/>
            <w:tcBorders>
              <w:top w:val="single" w:sz="4" w:space="0" w:color="auto"/>
              <w:bottom w:val="single" w:sz="4" w:space="0" w:color="auto"/>
            </w:tcBorders>
          </w:tcPr>
          <w:p w14:paraId="4941F683" w14:textId="4AED5E47" w:rsidR="00FB2592" w:rsidRPr="007846B5" w:rsidRDefault="00FB2592" w:rsidP="00FB2592">
            <w:pPr>
              <w:spacing w:before="120" w:after="120"/>
              <w:rPr>
                <w:color w:val="000000" w:themeColor="text1"/>
                <w:sz w:val="22"/>
              </w:rPr>
            </w:pPr>
            <w:r>
              <w:rPr>
                <w:color w:val="000000" w:themeColor="text1"/>
                <w:sz w:val="22"/>
              </w:rPr>
              <w:t>V2.0</w:t>
            </w:r>
          </w:p>
        </w:tc>
        <w:tc>
          <w:tcPr>
            <w:tcW w:w="2126" w:type="dxa"/>
            <w:tcBorders>
              <w:top w:val="single" w:sz="4" w:space="0" w:color="auto"/>
              <w:bottom w:val="single" w:sz="4" w:space="0" w:color="auto"/>
            </w:tcBorders>
          </w:tcPr>
          <w:p w14:paraId="029ADE14" w14:textId="2592BD6B" w:rsidR="00FB2592" w:rsidRPr="007846B5" w:rsidRDefault="00FB2592" w:rsidP="00FB2592">
            <w:pPr>
              <w:spacing w:before="120" w:after="120"/>
              <w:rPr>
                <w:color w:val="000000" w:themeColor="text1"/>
                <w:sz w:val="22"/>
              </w:rPr>
            </w:pPr>
            <w:r>
              <w:rPr>
                <w:color w:val="000000" w:themeColor="text1"/>
                <w:sz w:val="22"/>
              </w:rPr>
              <w:t>12/03/2024</w:t>
            </w:r>
          </w:p>
        </w:tc>
        <w:tc>
          <w:tcPr>
            <w:tcW w:w="3119" w:type="dxa"/>
            <w:tcBorders>
              <w:top w:val="single" w:sz="4" w:space="0" w:color="auto"/>
              <w:bottom w:val="single" w:sz="4" w:space="0" w:color="auto"/>
            </w:tcBorders>
          </w:tcPr>
          <w:p w14:paraId="0A465A9E" w14:textId="16A6DA28" w:rsidR="00FB2592" w:rsidRPr="007846B5" w:rsidRDefault="00FB2592" w:rsidP="00FB2592">
            <w:pPr>
              <w:spacing w:before="120" w:after="120"/>
              <w:rPr>
                <w:color w:val="000000" w:themeColor="text1"/>
                <w:sz w:val="22"/>
              </w:rPr>
            </w:pPr>
            <w:r>
              <w:rPr>
                <w:color w:val="000000" w:themeColor="text1"/>
                <w:sz w:val="22"/>
              </w:rPr>
              <w:t>Executive Committee</w:t>
            </w:r>
          </w:p>
        </w:tc>
        <w:tc>
          <w:tcPr>
            <w:tcW w:w="1701" w:type="dxa"/>
            <w:tcBorders>
              <w:top w:val="single" w:sz="4" w:space="0" w:color="auto"/>
              <w:bottom w:val="single" w:sz="4" w:space="0" w:color="auto"/>
            </w:tcBorders>
          </w:tcPr>
          <w:p w14:paraId="480F1F77" w14:textId="53F500E2" w:rsidR="00FB2592" w:rsidRPr="007846B5" w:rsidRDefault="00FB2592" w:rsidP="00FB2592">
            <w:pPr>
              <w:spacing w:before="120" w:after="120"/>
              <w:rPr>
                <w:color w:val="000000" w:themeColor="text1"/>
                <w:sz w:val="22"/>
              </w:rPr>
            </w:pPr>
            <w:r>
              <w:rPr>
                <w:color w:val="000000" w:themeColor="text1"/>
                <w:sz w:val="22"/>
              </w:rPr>
              <w:t>Second Issue</w:t>
            </w:r>
          </w:p>
        </w:tc>
        <w:tc>
          <w:tcPr>
            <w:tcW w:w="1134" w:type="dxa"/>
            <w:gridSpan w:val="2"/>
            <w:tcBorders>
              <w:top w:val="single" w:sz="4" w:space="0" w:color="auto"/>
              <w:bottom w:val="single" w:sz="4" w:space="0" w:color="auto"/>
            </w:tcBorders>
          </w:tcPr>
          <w:p w14:paraId="0736EE51" w14:textId="2C5D97F6" w:rsidR="00FB2592" w:rsidRPr="007846B5" w:rsidRDefault="00FB2592" w:rsidP="00FB2592">
            <w:pPr>
              <w:spacing w:before="120" w:after="120"/>
              <w:rPr>
                <w:color w:val="000000" w:themeColor="text1"/>
                <w:sz w:val="22"/>
              </w:rPr>
            </w:pPr>
          </w:p>
        </w:tc>
      </w:tr>
      <w:tr w:rsidR="00BD3EC2" w:rsidRPr="007846B5" w14:paraId="0C3E1ACC" w14:textId="77777777" w:rsidTr="00FB2592">
        <w:trPr>
          <w:trHeight w:val="594"/>
        </w:trPr>
        <w:tc>
          <w:tcPr>
            <w:tcW w:w="1418" w:type="dxa"/>
            <w:tcBorders>
              <w:top w:val="single" w:sz="4" w:space="0" w:color="auto"/>
              <w:bottom w:val="single" w:sz="4" w:space="0" w:color="auto"/>
            </w:tcBorders>
          </w:tcPr>
          <w:p w14:paraId="3707DB8C" w14:textId="6B29238E" w:rsidR="00BD3EC2" w:rsidRDefault="00BD3EC2" w:rsidP="00FB2592">
            <w:pPr>
              <w:spacing w:before="120" w:after="120"/>
              <w:rPr>
                <w:color w:val="000000" w:themeColor="text1"/>
                <w:sz w:val="22"/>
              </w:rPr>
            </w:pPr>
            <w:r>
              <w:rPr>
                <w:color w:val="000000" w:themeColor="text1"/>
                <w:sz w:val="22"/>
              </w:rPr>
              <w:t>V3.0</w:t>
            </w:r>
          </w:p>
        </w:tc>
        <w:tc>
          <w:tcPr>
            <w:tcW w:w="2126" w:type="dxa"/>
            <w:tcBorders>
              <w:top w:val="single" w:sz="4" w:space="0" w:color="auto"/>
              <w:bottom w:val="single" w:sz="4" w:space="0" w:color="auto"/>
            </w:tcBorders>
          </w:tcPr>
          <w:p w14:paraId="437E6C04" w14:textId="4B0D022D" w:rsidR="00BD3EC2" w:rsidRDefault="00944240" w:rsidP="00FB2592">
            <w:pPr>
              <w:spacing w:before="120" w:after="120"/>
              <w:rPr>
                <w:color w:val="000000" w:themeColor="text1"/>
                <w:sz w:val="22"/>
              </w:rPr>
            </w:pPr>
            <w:r>
              <w:rPr>
                <w:color w:val="000000" w:themeColor="text1"/>
                <w:sz w:val="22"/>
              </w:rPr>
              <w:t>11/02/2025</w:t>
            </w:r>
          </w:p>
        </w:tc>
        <w:tc>
          <w:tcPr>
            <w:tcW w:w="3119" w:type="dxa"/>
            <w:tcBorders>
              <w:top w:val="single" w:sz="4" w:space="0" w:color="auto"/>
              <w:bottom w:val="single" w:sz="4" w:space="0" w:color="auto"/>
            </w:tcBorders>
          </w:tcPr>
          <w:p w14:paraId="6402AD58" w14:textId="6F7CA86F" w:rsidR="00BD3EC2" w:rsidRDefault="00BD3EC2" w:rsidP="00FB2592">
            <w:pPr>
              <w:spacing w:before="120" w:after="120"/>
              <w:rPr>
                <w:color w:val="000000" w:themeColor="text1"/>
                <w:sz w:val="22"/>
              </w:rPr>
            </w:pPr>
            <w:r>
              <w:rPr>
                <w:color w:val="000000" w:themeColor="text1"/>
                <w:sz w:val="22"/>
              </w:rPr>
              <w:t xml:space="preserve">Executive Committee </w:t>
            </w:r>
          </w:p>
        </w:tc>
        <w:tc>
          <w:tcPr>
            <w:tcW w:w="1701" w:type="dxa"/>
            <w:tcBorders>
              <w:top w:val="single" w:sz="4" w:space="0" w:color="auto"/>
              <w:bottom w:val="single" w:sz="4" w:space="0" w:color="auto"/>
            </w:tcBorders>
          </w:tcPr>
          <w:p w14:paraId="55C0E548" w14:textId="4CE1AF27" w:rsidR="00BD3EC2" w:rsidRDefault="00BD3EC2" w:rsidP="00FB2592">
            <w:pPr>
              <w:spacing w:before="120" w:after="120"/>
              <w:rPr>
                <w:color w:val="000000" w:themeColor="text1"/>
                <w:sz w:val="22"/>
              </w:rPr>
            </w:pPr>
            <w:r>
              <w:rPr>
                <w:color w:val="000000" w:themeColor="text1"/>
                <w:sz w:val="22"/>
              </w:rPr>
              <w:t>Third Issue</w:t>
            </w:r>
          </w:p>
        </w:tc>
        <w:tc>
          <w:tcPr>
            <w:tcW w:w="1134" w:type="dxa"/>
            <w:gridSpan w:val="2"/>
            <w:tcBorders>
              <w:top w:val="single" w:sz="4" w:space="0" w:color="auto"/>
              <w:bottom w:val="single" w:sz="4" w:space="0" w:color="auto"/>
            </w:tcBorders>
          </w:tcPr>
          <w:p w14:paraId="6428CC9A" w14:textId="77777777" w:rsidR="00BD3EC2" w:rsidRPr="007846B5" w:rsidRDefault="00BD3EC2" w:rsidP="00FB2592">
            <w:pPr>
              <w:spacing w:before="120" w:after="120"/>
              <w:rPr>
                <w:color w:val="000000" w:themeColor="text1"/>
                <w:sz w:val="22"/>
              </w:rPr>
            </w:pPr>
          </w:p>
        </w:tc>
      </w:tr>
    </w:tbl>
    <w:p w14:paraId="6E935748" w14:textId="77777777" w:rsidR="003349B8" w:rsidRPr="007846B5" w:rsidRDefault="003349B8" w:rsidP="003349B8"/>
    <w:p w14:paraId="25886A15" w14:textId="77777777" w:rsidR="003349B8" w:rsidRPr="007846B5" w:rsidRDefault="003349B8" w:rsidP="003349B8">
      <w:pPr>
        <w:widowControl w:val="0"/>
        <w:spacing w:after="120"/>
        <w:ind w:left="567" w:hanging="567"/>
        <w:outlineLvl w:val="0"/>
        <w:rPr>
          <w:rFonts w:eastAsiaTheme="majorEastAsia" w:cstheme="majorBidi"/>
          <w:b/>
          <w:bCs/>
          <w:sz w:val="28"/>
          <w:szCs w:val="28"/>
        </w:rPr>
      </w:pPr>
      <w:bookmarkStart w:id="78" w:name="_Toc129939320"/>
      <w:bookmarkStart w:id="79" w:name="_Toc129939487"/>
      <w:bookmarkStart w:id="80" w:name="_Toc129939780"/>
      <w:bookmarkStart w:id="81" w:name="_Toc129940161"/>
      <w:bookmarkStart w:id="82" w:name="_Toc131156883"/>
      <w:r w:rsidRPr="007846B5">
        <w:rPr>
          <w:rFonts w:eastAsiaTheme="majorEastAsia" w:cstheme="majorBidi"/>
          <w:b/>
          <w:bCs/>
          <w:sz w:val="28"/>
          <w:szCs w:val="28"/>
        </w:rPr>
        <w:t>Appendix 2: Review History</w:t>
      </w:r>
      <w:bookmarkEnd w:id="78"/>
      <w:bookmarkEnd w:id="79"/>
      <w:bookmarkEnd w:id="80"/>
      <w:bookmarkEnd w:id="81"/>
      <w:bookmarkEnd w:id="82"/>
    </w:p>
    <w:p w14:paraId="7D5A6418" w14:textId="77777777" w:rsidR="003349B8" w:rsidRPr="007846B5" w:rsidRDefault="003349B8" w:rsidP="003349B8"/>
    <w:tbl>
      <w:tblPr>
        <w:tblStyle w:val="TableGrid"/>
        <w:tblW w:w="963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2268"/>
        <w:gridCol w:w="1276"/>
        <w:gridCol w:w="3543"/>
      </w:tblGrid>
      <w:tr w:rsidR="003349B8" w:rsidRPr="007846B5" w14:paraId="53D52788" w14:textId="77777777" w:rsidTr="00FB2592">
        <w:trPr>
          <w:trHeight w:val="463"/>
        </w:trPr>
        <w:tc>
          <w:tcPr>
            <w:tcW w:w="1134" w:type="dxa"/>
            <w:shd w:val="clear" w:color="auto" w:fill="EEECE1" w:themeFill="background2"/>
            <w:vAlign w:val="center"/>
          </w:tcPr>
          <w:p w14:paraId="0FBEDCF7" w14:textId="77777777" w:rsidR="003349B8" w:rsidRPr="007846B5" w:rsidRDefault="003349B8" w:rsidP="00790E9D">
            <w:pPr>
              <w:spacing w:before="120" w:after="120"/>
              <w:rPr>
                <w:b/>
                <w:bCs/>
                <w:color w:val="000000" w:themeColor="text1"/>
                <w:sz w:val="22"/>
              </w:rPr>
            </w:pPr>
            <w:r w:rsidRPr="007846B5">
              <w:rPr>
                <w:b/>
                <w:bCs/>
                <w:color w:val="000000" w:themeColor="text1"/>
                <w:sz w:val="22"/>
              </w:rPr>
              <w:t>Version</w:t>
            </w:r>
          </w:p>
        </w:tc>
        <w:tc>
          <w:tcPr>
            <w:tcW w:w="1418" w:type="dxa"/>
            <w:shd w:val="clear" w:color="auto" w:fill="EEECE1" w:themeFill="background2"/>
            <w:vAlign w:val="center"/>
          </w:tcPr>
          <w:p w14:paraId="282FA71B" w14:textId="77777777" w:rsidR="003349B8" w:rsidRPr="007846B5" w:rsidRDefault="003349B8" w:rsidP="00790E9D">
            <w:pPr>
              <w:spacing w:before="120" w:after="120"/>
              <w:rPr>
                <w:b/>
                <w:bCs/>
                <w:color w:val="000000" w:themeColor="text1"/>
                <w:sz w:val="22"/>
              </w:rPr>
            </w:pPr>
            <w:r w:rsidRPr="007846B5">
              <w:rPr>
                <w:b/>
                <w:bCs/>
                <w:color w:val="000000" w:themeColor="text1"/>
                <w:sz w:val="22"/>
              </w:rPr>
              <w:t>Date</w:t>
            </w:r>
          </w:p>
        </w:tc>
        <w:tc>
          <w:tcPr>
            <w:tcW w:w="2268" w:type="dxa"/>
            <w:shd w:val="clear" w:color="auto" w:fill="EEECE1" w:themeFill="background2"/>
            <w:vAlign w:val="center"/>
          </w:tcPr>
          <w:p w14:paraId="472A7333" w14:textId="77777777" w:rsidR="003349B8" w:rsidRPr="007846B5" w:rsidRDefault="003349B8" w:rsidP="00790E9D">
            <w:pPr>
              <w:spacing w:before="120" w:after="120"/>
              <w:rPr>
                <w:b/>
                <w:bCs/>
                <w:color w:val="000000" w:themeColor="text1"/>
                <w:sz w:val="22"/>
              </w:rPr>
            </w:pPr>
            <w:r w:rsidRPr="007846B5">
              <w:rPr>
                <w:b/>
                <w:bCs/>
                <w:color w:val="000000" w:themeColor="text1"/>
                <w:sz w:val="22"/>
              </w:rPr>
              <w:t>Reviewed by</w:t>
            </w:r>
          </w:p>
        </w:tc>
        <w:tc>
          <w:tcPr>
            <w:tcW w:w="1276" w:type="dxa"/>
            <w:shd w:val="clear" w:color="auto" w:fill="EEECE1" w:themeFill="background2"/>
          </w:tcPr>
          <w:p w14:paraId="429254CD" w14:textId="77777777" w:rsidR="003349B8" w:rsidRPr="007846B5" w:rsidRDefault="003349B8" w:rsidP="00790E9D">
            <w:pPr>
              <w:spacing w:before="120" w:after="120"/>
              <w:rPr>
                <w:b/>
                <w:bCs/>
                <w:color w:val="000000" w:themeColor="text1"/>
                <w:sz w:val="22"/>
              </w:rPr>
            </w:pPr>
            <w:r w:rsidRPr="007846B5">
              <w:rPr>
                <w:b/>
                <w:bCs/>
                <w:color w:val="000000" w:themeColor="text1"/>
                <w:sz w:val="22"/>
              </w:rPr>
              <w:t>Changes Required Y/N?</w:t>
            </w:r>
          </w:p>
        </w:tc>
        <w:tc>
          <w:tcPr>
            <w:tcW w:w="3543" w:type="dxa"/>
            <w:shd w:val="clear" w:color="auto" w:fill="EEECE1" w:themeFill="background2"/>
          </w:tcPr>
          <w:p w14:paraId="02CC1E2F" w14:textId="77777777" w:rsidR="003349B8" w:rsidRPr="007846B5" w:rsidRDefault="003349B8" w:rsidP="00790E9D">
            <w:pPr>
              <w:spacing w:before="120" w:after="120"/>
              <w:ind w:right="-2374"/>
              <w:rPr>
                <w:b/>
                <w:bCs/>
                <w:color w:val="000000" w:themeColor="text1"/>
                <w:sz w:val="22"/>
              </w:rPr>
            </w:pPr>
            <w:r w:rsidRPr="007846B5">
              <w:rPr>
                <w:b/>
                <w:bCs/>
                <w:color w:val="000000" w:themeColor="text1"/>
                <w:sz w:val="22"/>
              </w:rPr>
              <w:t>Summary of changes</w:t>
            </w:r>
          </w:p>
          <w:p w14:paraId="6BAE9F27" w14:textId="77777777" w:rsidR="003349B8" w:rsidRPr="007846B5" w:rsidRDefault="003349B8" w:rsidP="00790E9D">
            <w:pPr>
              <w:spacing w:before="120" w:after="120"/>
              <w:ind w:right="-2374"/>
              <w:rPr>
                <w:b/>
                <w:bCs/>
                <w:color w:val="000000" w:themeColor="text1"/>
                <w:sz w:val="22"/>
              </w:rPr>
            </w:pPr>
            <w:r w:rsidRPr="007846B5">
              <w:rPr>
                <w:b/>
                <w:bCs/>
                <w:color w:val="000000" w:themeColor="text1"/>
                <w:sz w:val="22"/>
              </w:rPr>
              <w:t>(</w:t>
            </w:r>
            <w:proofErr w:type="gramStart"/>
            <w:r w:rsidRPr="007846B5">
              <w:rPr>
                <w:b/>
                <w:bCs/>
                <w:color w:val="000000" w:themeColor="text1"/>
                <w:sz w:val="22"/>
              </w:rPr>
              <w:t>once</w:t>
            </w:r>
            <w:proofErr w:type="gramEnd"/>
            <w:r w:rsidRPr="007846B5">
              <w:rPr>
                <w:b/>
                <w:bCs/>
                <w:color w:val="000000" w:themeColor="text1"/>
                <w:sz w:val="22"/>
              </w:rPr>
              <w:t xml:space="preserve"> changes are approved</w:t>
            </w:r>
          </w:p>
          <w:p w14:paraId="251C9036" w14:textId="77777777" w:rsidR="003349B8" w:rsidRPr="007846B5" w:rsidRDefault="003349B8" w:rsidP="00790E9D">
            <w:pPr>
              <w:spacing w:before="120" w:after="120"/>
              <w:ind w:right="-2374"/>
              <w:rPr>
                <w:b/>
                <w:bCs/>
                <w:color w:val="000000" w:themeColor="text1"/>
                <w:sz w:val="22"/>
              </w:rPr>
            </w:pPr>
            <w:r w:rsidRPr="007846B5">
              <w:rPr>
                <w:b/>
                <w:bCs/>
                <w:color w:val="000000" w:themeColor="text1"/>
                <w:sz w:val="22"/>
              </w:rPr>
              <w:t xml:space="preserve"> Appendix 1 should be updated)</w:t>
            </w:r>
          </w:p>
        </w:tc>
      </w:tr>
      <w:tr w:rsidR="00004DE8" w:rsidRPr="007846B5" w14:paraId="0492C73C" w14:textId="77777777" w:rsidTr="00FB2592">
        <w:trPr>
          <w:trHeight w:val="594"/>
        </w:trPr>
        <w:tc>
          <w:tcPr>
            <w:tcW w:w="1134" w:type="dxa"/>
          </w:tcPr>
          <w:p w14:paraId="335A63EC" w14:textId="42BA47E3" w:rsidR="00004DE8" w:rsidRPr="007846B5" w:rsidRDefault="00004DE8" w:rsidP="00004DE8">
            <w:pPr>
              <w:spacing w:before="120" w:after="120"/>
              <w:rPr>
                <w:color w:val="000000" w:themeColor="text1"/>
                <w:sz w:val="22"/>
                <w:highlight w:val="yellow"/>
              </w:rPr>
            </w:pPr>
            <w:r>
              <w:rPr>
                <w:color w:val="000000" w:themeColor="text1"/>
                <w:sz w:val="22"/>
              </w:rPr>
              <w:t>V2.0</w:t>
            </w:r>
          </w:p>
        </w:tc>
        <w:tc>
          <w:tcPr>
            <w:tcW w:w="1418" w:type="dxa"/>
          </w:tcPr>
          <w:p w14:paraId="2DB83492" w14:textId="54A8BC88" w:rsidR="00004DE8" w:rsidRPr="007846B5" w:rsidRDefault="00004DE8" w:rsidP="00004DE8">
            <w:pPr>
              <w:spacing w:before="120" w:after="120"/>
              <w:rPr>
                <w:color w:val="000000" w:themeColor="text1"/>
                <w:sz w:val="22"/>
                <w:highlight w:val="yellow"/>
              </w:rPr>
            </w:pPr>
            <w:r>
              <w:rPr>
                <w:color w:val="000000" w:themeColor="text1"/>
                <w:sz w:val="22"/>
              </w:rPr>
              <w:t>19/02/2024</w:t>
            </w:r>
          </w:p>
        </w:tc>
        <w:tc>
          <w:tcPr>
            <w:tcW w:w="2268" w:type="dxa"/>
          </w:tcPr>
          <w:p w14:paraId="0EC584BB" w14:textId="35DBBA6B" w:rsidR="00004DE8" w:rsidRPr="007846B5" w:rsidRDefault="00004DE8" w:rsidP="00004DE8">
            <w:pPr>
              <w:spacing w:before="120" w:after="120"/>
              <w:rPr>
                <w:color w:val="000000" w:themeColor="text1"/>
                <w:sz w:val="22"/>
                <w:highlight w:val="yellow"/>
              </w:rPr>
            </w:pPr>
            <w:r>
              <w:rPr>
                <w:color w:val="000000" w:themeColor="text1"/>
                <w:sz w:val="22"/>
              </w:rPr>
              <w:t>Senior Governance Lead</w:t>
            </w:r>
          </w:p>
        </w:tc>
        <w:tc>
          <w:tcPr>
            <w:tcW w:w="1276" w:type="dxa"/>
          </w:tcPr>
          <w:p w14:paraId="4A81BC8B" w14:textId="068D75D8" w:rsidR="00004DE8" w:rsidRPr="007846B5" w:rsidRDefault="00004DE8" w:rsidP="00004DE8">
            <w:pPr>
              <w:spacing w:before="120" w:after="120"/>
              <w:rPr>
                <w:color w:val="000000" w:themeColor="text1"/>
                <w:sz w:val="22"/>
                <w:highlight w:val="yellow"/>
              </w:rPr>
            </w:pPr>
            <w:r>
              <w:rPr>
                <w:color w:val="000000" w:themeColor="text1"/>
                <w:sz w:val="22"/>
              </w:rPr>
              <w:t>Y</w:t>
            </w:r>
          </w:p>
        </w:tc>
        <w:tc>
          <w:tcPr>
            <w:tcW w:w="3543" w:type="dxa"/>
          </w:tcPr>
          <w:p w14:paraId="6E2B0CB1" w14:textId="7BEE94BD" w:rsidR="00004DE8" w:rsidRPr="007846B5" w:rsidRDefault="00004DE8" w:rsidP="00004DE8">
            <w:pPr>
              <w:spacing w:before="120" w:after="120"/>
              <w:rPr>
                <w:color w:val="000000" w:themeColor="text1"/>
                <w:sz w:val="22"/>
                <w:highlight w:val="yellow"/>
              </w:rPr>
            </w:pPr>
            <w:r w:rsidRPr="00F35D04">
              <w:rPr>
                <w:color w:val="000000" w:themeColor="text1"/>
                <w:sz w:val="22"/>
              </w:rPr>
              <w:t xml:space="preserve">Updated </w:t>
            </w:r>
            <w:proofErr w:type="spellStart"/>
            <w:r w:rsidRPr="00F35D04">
              <w:rPr>
                <w:color w:val="000000" w:themeColor="text1"/>
                <w:sz w:val="22"/>
              </w:rPr>
              <w:t>ToR</w:t>
            </w:r>
            <w:proofErr w:type="spellEnd"/>
            <w:r w:rsidRPr="00F35D04">
              <w:rPr>
                <w:color w:val="000000" w:themeColor="text1"/>
                <w:sz w:val="22"/>
              </w:rPr>
              <w:t xml:space="preserve"> template to bring in line with annual reviews.  Job title changes to meet ICB 2.0 changes</w:t>
            </w:r>
          </w:p>
        </w:tc>
      </w:tr>
      <w:tr w:rsidR="00004DE8" w:rsidRPr="007846B5" w14:paraId="361E0187" w14:textId="77777777" w:rsidTr="00FB2592">
        <w:trPr>
          <w:trHeight w:val="594"/>
        </w:trPr>
        <w:tc>
          <w:tcPr>
            <w:tcW w:w="1134" w:type="dxa"/>
          </w:tcPr>
          <w:p w14:paraId="0DF1EFB0" w14:textId="444C8BCD" w:rsidR="00004DE8" w:rsidRPr="007846B5" w:rsidRDefault="00004DE8" w:rsidP="00004DE8">
            <w:pPr>
              <w:spacing w:before="120" w:after="120"/>
              <w:rPr>
                <w:color w:val="000000" w:themeColor="text1"/>
                <w:sz w:val="22"/>
              </w:rPr>
            </w:pPr>
            <w:r>
              <w:rPr>
                <w:color w:val="000000" w:themeColor="text1"/>
                <w:sz w:val="22"/>
              </w:rPr>
              <w:t>V</w:t>
            </w:r>
            <w:r w:rsidR="00FB2592">
              <w:rPr>
                <w:color w:val="000000" w:themeColor="text1"/>
                <w:sz w:val="22"/>
              </w:rPr>
              <w:t>2</w:t>
            </w:r>
            <w:r>
              <w:rPr>
                <w:color w:val="000000" w:themeColor="text1"/>
                <w:sz w:val="22"/>
              </w:rPr>
              <w:t>.0</w:t>
            </w:r>
          </w:p>
        </w:tc>
        <w:tc>
          <w:tcPr>
            <w:tcW w:w="1418" w:type="dxa"/>
          </w:tcPr>
          <w:p w14:paraId="1584F0D5" w14:textId="79CA8467" w:rsidR="00004DE8" w:rsidRPr="007846B5" w:rsidRDefault="00004DE8" w:rsidP="00004DE8">
            <w:pPr>
              <w:spacing w:before="120" w:after="120"/>
              <w:rPr>
                <w:color w:val="000000" w:themeColor="text1"/>
                <w:sz w:val="22"/>
              </w:rPr>
            </w:pPr>
            <w:r>
              <w:rPr>
                <w:color w:val="000000" w:themeColor="text1"/>
                <w:sz w:val="22"/>
              </w:rPr>
              <w:t>29/08/2024</w:t>
            </w:r>
          </w:p>
        </w:tc>
        <w:tc>
          <w:tcPr>
            <w:tcW w:w="2268" w:type="dxa"/>
          </w:tcPr>
          <w:p w14:paraId="2817D035" w14:textId="69466EEF" w:rsidR="00004DE8" w:rsidRPr="007846B5" w:rsidRDefault="00004DE8" w:rsidP="00004DE8">
            <w:pPr>
              <w:spacing w:before="120" w:after="120"/>
              <w:rPr>
                <w:color w:val="000000" w:themeColor="text1"/>
                <w:sz w:val="22"/>
              </w:rPr>
            </w:pPr>
            <w:r>
              <w:rPr>
                <w:color w:val="000000" w:themeColor="text1"/>
                <w:sz w:val="22"/>
              </w:rPr>
              <w:t>Chair and Governance Lead</w:t>
            </w:r>
          </w:p>
        </w:tc>
        <w:tc>
          <w:tcPr>
            <w:tcW w:w="1276" w:type="dxa"/>
          </w:tcPr>
          <w:p w14:paraId="349B36E7" w14:textId="4E1AA90E" w:rsidR="00004DE8" w:rsidRPr="007846B5" w:rsidRDefault="00004DE8" w:rsidP="00004DE8">
            <w:pPr>
              <w:spacing w:before="120" w:after="120"/>
              <w:ind w:left="294" w:hanging="294"/>
              <w:rPr>
                <w:color w:val="000000" w:themeColor="text1"/>
                <w:sz w:val="22"/>
              </w:rPr>
            </w:pPr>
            <w:r>
              <w:rPr>
                <w:color w:val="000000" w:themeColor="text1"/>
                <w:sz w:val="22"/>
              </w:rPr>
              <w:t>Y</w:t>
            </w:r>
          </w:p>
        </w:tc>
        <w:tc>
          <w:tcPr>
            <w:tcW w:w="3543" w:type="dxa"/>
          </w:tcPr>
          <w:p w14:paraId="419617DB" w14:textId="6FD45CF1" w:rsidR="00004DE8" w:rsidRPr="007846B5" w:rsidRDefault="00004DE8" w:rsidP="00004DE8">
            <w:pPr>
              <w:spacing w:before="120" w:after="120"/>
              <w:rPr>
                <w:color w:val="000000" w:themeColor="text1"/>
                <w:sz w:val="22"/>
              </w:rPr>
            </w:pPr>
            <w:r>
              <w:rPr>
                <w:color w:val="000000" w:themeColor="text1"/>
                <w:sz w:val="22"/>
              </w:rPr>
              <w:t>Updated r</w:t>
            </w:r>
            <w:r w:rsidRPr="00F16B54">
              <w:rPr>
                <w:color w:val="000000" w:themeColor="text1"/>
                <w:sz w:val="22"/>
              </w:rPr>
              <w:t>oles and responsibiliti</w:t>
            </w:r>
            <w:r>
              <w:rPr>
                <w:color w:val="000000" w:themeColor="text1"/>
                <w:sz w:val="22"/>
              </w:rPr>
              <w:t xml:space="preserve">es, membership and </w:t>
            </w:r>
            <w:proofErr w:type="spellStart"/>
            <w:r>
              <w:rPr>
                <w:color w:val="000000" w:themeColor="text1"/>
                <w:sz w:val="22"/>
              </w:rPr>
              <w:t>quaracy</w:t>
            </w:r>
            <w:proofErr w:type="spellEnd"/>
          </w:p>
        </w:tc>
      </w:tr>
      <w:tr w:rsidR="00004DE8" w:rsidRPr="007846B5" w14:paraId="34ADBE2B" w14:textId="77777777" w:rsidTr="00FB2592">
        <w:trPr>
          <w:trHeight w:val="594"/>
        </w:trPr>
        <w:tc>
          <w:tcPr>
            <w:tcW w:w="1134" w:type="dxa"/>
          </w:tcPr>
          <w:p w14:paraId="382D7122" w14:textId="40FE881B" w:rsidR="00004DE8" w:rsidRPr="007846B5" w:rsidRDefault="00004DE8" w:rsidP="00004DE8">
            <w:pPr>
              <w:spacing w:before="120" w:after="120"/>
              <w:rPr>
                <w:color w:val="000000" w:themeColor="text1"/>
                <w:sz w:val="22"/>
              </w:rPr>
            </w:pPr>
            <w:r>
              <w:rPr>
                <w:color w:val="000000" w:themeColor="text1"/>
                <w:sz w:val="22"/>
              </w:rPr>
              <w:t>V2.0</w:t>
            </w:r>
          </w:p>
        </w:tc>
        <w:tc>
          <w:tcPr>
            <w:tcW w:w="1418" w:type="dxa"/>
          </w:tcPr>
          <w:p w14:paraId="4259FE11" w14:textId="7FB845B4" w:rsidR="00004DE8" w:rsidRPr="007846B5" w:rsidRDefault="00004DE8" w:rsidP="00004DE8">
            <w:pPr>
              <w:spacing w:before="120" w:after="120"/>
              <w:rPr>
                <w:color w:val="000000" w:themeColor="text1"/>
                <w:sz w:val="22"/>
              </w:rPr>
            </w:pPr>
            <w:r>
              <w:rPr>
                <w:color w:val="000000" w:themeColor="text1"/>
                <w:sz w:val="22"/>
              </w:rPr>
              <w:t>19/02/2024</w:t>
            </w:r>
          </w:p>
        </w:tc>
        <w:tc>
          <w:tcPr>
            <w:tcW w:w="2268" w:type="dxa"/>
          </w:tcPr>
          <w:p w14:paraId="1174AE6A" w14:textId="5B56F8AF" w:rsidR="00004DE8" w:rsidRPr="007846B5" w:rsidRDefault="00004DE8" w:rsidP="00004DE8">
            <w:pPr>
              <w:spacing w:before="120" w:after="120"/>
              <w:rPr>
                <w:color w:val="000000" w:themeColor="text1"/>
                <w:sz w:val="22"/>
              </w:rPr>
            </w:pPr>
            <w:r>
              <w:rPr>
                <w:color w:val="000000" w:themeColor="text1"/>
                <w:sz w:val="22"/>
              </w:rPr>
              <w:t>Senior Governance Lead</w:t>
            </w:r>
          </w:p>
        </w:tc>
        <w:tc>
          <w:tcPr>
            <w:tcW w:w="1276" w:type="dxa"/>
          </w:tcPr>
          <w:p w14:paraId="4453E2FD" w14:textId="328F39CD" w:rsidR="00004DE8" w:rsidRPr="007846B5" w:rsidRDefault="00004DE8" w:rsidP="00004DE8">
            <w:pPr>
              <w:spacing w:before="120" w:after="120"/>
              <w:rPr>
                <w:color w:val="000000" w:themeColor="text1"/>
                <w:sz w:val="22"/>
              </w:rPr>
            </w:pPr>
            <w:r>
              <w:rPr>
                <w:color w:val="000000" w:themeColor="text1"/>
                <w:sz w:val="22"/>
              </w:rPr>
              <w:t>Y</w:t>
            </w:r>
          </w:p>
        </w:tc>
        <w:tc>
          <w:tcPr>
            <w:tcW w:w="3543" w:type="dxa"/>
          </w:tcPr>
          <w:p w14:paraId="6137CC84" w14:textId="3BA93A5A" w:rsidR="00004DE8" w:rsidRPr="007846B5" w:rsidRDefault="00004DE8" w:rsidP="00004DE8">
            <w:pPr>
              <w:spacing w:before="120" w:after="120"/>
              <w:rPr>
                <w:color w:val="000000" w:themeColor="text1"/>
                <w:sz w:val="22"/>
              </w:rPr>
            </w:pPr>
            <w:r w:rsidRPr="00F35D04">
              <w:rPr>
                <w:color w:val="000000" w:themeColor="text1"/>
                <w:sz w:val="22"/>
              </w:rPr>
              <w:t xml:space="preserve">Updated </w:t>
            </w:r>
            <w:proofErr w:type="spellStart"/>
            <w:r w:rsidRPr="00F35D04">
              <w:rPr>
                <w:color w:val="000000" w:themeColor="text1"/>
                <w:sz w:val="22"/>
              </w:rPr>
              <w:t>ToR</w:t>
            </w:r>
            <w:proofErr w:type="spellEnd"/>
            <w:r w:rsidRPr="00F35D04">
              <w:rPr>
                <w:color w:val="000000" w:themeColor="text1"/>
                <w:sz w:val="22"/>
              </w:rPr>
              <w:t xml:space="preserve"> template to bring in line with annual reviews.  Job title changes to meet ICB 2.0 changes</w:t>
            </w:r>
          </w:p>
        </w:tc>
      </w:tr>
      <w:tr w:rsidR="00FB2592" w:rsidRPr="007846B5" w14:paraId="11F9ACA9" w14:textId="77777777" w:rsidTr="00FB2592">
        <w:trPr>
          <w:trHeight w:val="594"/>
        </w:trPr>
        <w:tc>
          <w:tcPr>
            <w:tcW w:w="1134" w:type="dxa"/>
          </w:tcPr>
          <w:p w14:paraId="608CE684" w14:textId="44384F8D" w:rsidR="00FB2592" w:rsidRDefault="00FB2592" w:rsidP="00004DE8">
            <w:pPr>
              <w:spacing w:before="120" w:after="120"/>
              <w:rPr>
                <w:color w:val="000000" w:themeColor="text1"/>
                <w:sz w:val="22"/>
              </w:rPr>
            </w:pPr>
            <w:r>
              <w:rPr>
                <w:color w:val="000000" w:themeColor="text1"/>
                <w:sz w:val="22"/>
              </w:rPr>
              <w:t>V3.0</w:t>
            </w:r>
          </w:p>
        </w:tc>
        <w:tc>
          <w:tcPr>
            <w:tcW w:w="1418" w:type="dxa"/>
          </w:tcPr>
          <w:p w14:paraId="18744DB1" w14:textId="12C1435F" w:rsidR="00FB2592" w:rsidRDefault="00BD3EC2" w:rsidP="00004DE8">
            <w:pPr>
              <w:spacing w:before="120" w:after="120"/>
              <w:rPr>
                <w:color w:val="000000" w:themeColor="text1"/>
                <w:sz w:val="22"/>
              </w:rPr>
            </w:pPr>
            <w:r w:rsidRPr="00BD3EC2">
              <w:rPr>
                <w:color w:val="000000" w:themeColor="text1"/>
                <w:sz w:val="22"/>
              </w:rPr>
              <w:t>13</w:t>
            </w:r>
            <w:r>
              <w:rPr>
                <w:color w:val="000000" w:themeColor="text1"/>
                <w:sz w:val="22"/>
              </w:rPr>
              <w:t>/12/</w:t>
            </w:r>
            <w:r w:rsidRPr="00BD3EC2">
              <w:rPr>
                <w:color w:val="000000" w:themeColor="text1"/>
                <w:sz w:val="22"/>
              </w:rPr>
              <w:t>2024</w:t>
            </w:r>
          </w:p>
        </w:tc>
        <w:tc>
          <w:tcPr>
            <w:tcW w:w="2268" w:type="dxa"/>
          </w:tcPr>
          <w:p w14:paraId="40D53CD1" w14:textId="688A7EB8" w:rsidR="00FB2592" w:rsidRDefault="00BD3EC2" w:rsidP="00004DE8">
            <w:pPr>
              <w:spacing w:before="120" w:after="120"/>
              <w:rPr>
                <w:color w:val="000000" w:themeColor="text1"/>
                <w:sz w:val="22"/>
              </w:rPr>
            </w:pPr>
            <w:r w:rsidRPr="00BD3EC2">
              <w:rPr>
                <w:color w:val="000000" w:themeColor="text1"/>
                <w:sz w:val="22"/>
              </w:rPr>
              <w:t>Senior Governance Lead</w:t>
            </w:r>
          </w:p>
        </w:tc>
        <w:tc>
          <w:tcPr>
            <w:tcW w:w="1276" w:type="dxa"/>
          </w:tcPr>
          <w:p w14:paraId="4F8AFCA2" w14:textId="242C4F3C" w:rsidR="00FB2592" w:rsidRDefault="00BD3EC2" w:rsidP="00004DE8">
            <w:pPr>
              <w:spacing w:before="120" w:after="120"/>
              <w:rPr>
                <w:color w:val="000000" w:themeColor="text1"/>
                <w:sz w:val="22"/>
              </w:rPr>
            </w:pPr>
            <w:r>
              <w:rPr>
                <w:color w:val="000000" w:themeColor="text1"/>
                <w:sz w:val="22"/>
              </w:rPr>
              <w:t>Y</w:t>
            </w:r>
          </w:p>
        </w:tc>
        <w:tc>
          <w:tcPr>
            <w:tcW w:w="3543" w:type="dxa"/>
          </w:tcPr>
          <w:p w14:paraId="220AC379" w14:textId="0E929046" w:rsidR="00FB2592" w:rsidRPr="00F35D04" w:rsidRDefault="00BD3EC2" w:rsidP="00004DE8">
            <w:pPr>
              <w:spacing w:before="120" w:after="120"/>
              <w:rPr>
                <w:color w:val="000000" w:themeColor="text1"/>
                <w:sz w:val="22"/>
              </w:rPr>
            </w:pPr>
            <w:r w:rsidRPr="00BD3EC2">
              <w:rPr>
                <w:color w:val="000000" w:themeColor="text1"/>
                <w:sz w:val="22"/>
              </w:rPr>
              <w:t>Updated</w:t>
            </w:r>
            <w:r>
              <w:rPr>
                <w:color w:val="000000" w:themeColor="text1"/>
                <w:sz w:val="22"/>
              </w:rPr>
              <w:t xml:space="preserve"> name of the subcommittee,</w:t>
            </w:r>
            <w:r w:rsidRPr="00BD3EC2">
              <w:rPr>
                <w:color w:val="000000" w:themeColor="text1"/>
                <w:sz w:val="22"/>
              </w:rPr>
              <w:t xml:space="preserve"> roles and responsibilities, membership and qu</w:t>
            </w:r>
            <w:r>
              <w:rPr>
                <w:color w:val="000000" w:themeColor="text1"/>
                <w:sz w:val="22"/>
              </w:rPr>
              <w:t>o</w:t>
            </w:r>
            <w:r w:rsidRPr="00BD3EC2">
              <w:rPr>
                <w:color w:val="000000" w:themeColor="text1"/>
                <w:sz w:val="22"/>
              </w:rPr>
              <w:t>racy</w:t>
            </w:r>
          </w:p>
        </w:tc>
      </w:tr>
    </w:tbl>
    <w:p w14:paraId="086545C6" w14:textId="77777777" w:rsidR="003349B8" w:rsidRPr="007846B5" w:rsidRDefault="003349B8" w:rsidP="003349B8"/>
    <w:p w14:paraId="303281B7" w14:textId="77777777" w:rsidR="003349B8" w:rsidRPr="007846B5" w:rsidRDefault="003349B8" w:rsidP="003349B8"/>
    <w:p w14:paraId="0C8FED16" w14:textId="58753A97" w:rsidR="00004DE8" w:rsidRPr="007846B5" w:rsidRDefault="00004DE8" w:rsidP="00004DE8">
      <w:pPr>
        <w:rPr>
          <w:color w:val="000000" w:themeColor="text1"/>
          <w:sz w:val="22"/>
          <w:szCs w:val="22"/>
        </w:rPr>
      </w:pPr>
      <w:r w:rsidRPr="007846B5">
        <w:rPr>
          <w:b/>
          <w:bCs/>
          <w:color w:val="000000" w:themeColor="text1"/>
          <w:sz w:val="22"/>
          <w:szCs w:val="22"/>
        </w:rPr>
        <w:t>Review date:</w:t>
      </w:r>
      <w:r w:rsidRPr="007846B5">
        <w:rPr>
          <w:color w:val="000000" w:themeColor="text1"/>
          <w:sz w:val="22"/>
          <w:szCs w:val="22"/>
        </w:rPr>
        <w:t xml:space="preserve"> </w:t>
      </w:r>
      <w:r w:rsidR="00FB2592">
        <w:rPr>
          <w:color w:val="000000" w:themeColor="text1"/>
          <w:sz w:val="22"/>
          <w:szCs w:val="22"/>
        </w:rPr>
        <w:t>19 January</w:t>
      </w:r>
      <w:r>
        <w:rPr>
          <w:color w:val="000000" w:themeColor="text1"/>
          <w:sz w:val="22"/>
          <w:szCs w:val="22"/>
        </w:rPr>
        <w:t xml:space="preserve"> 202</w:t>
      </w:r>
      <w:r w:rsidR="00FB2592">
        <w:rPr>
          <w:color w:val="000000" w:themeColor="text1"/>
          <w:sz w:val="22"/>
          <w:szCs w:val="22"/>
        </w:rPr>
        <w:t>6</w:t>
      </w:r>
    </w:p>
    <w:p w14:paraId="08872C2E" w14:textId="3E71DFB7" w:rsidR="00004DE8" w:rsidRPr="007846B5" w:rsidRDefault="00004DE8" w:rsidP="00004DE8">
      <w:pPr>
        <w:rPr>
          <w:color w:val="000000" w:themeColor="text1"/>
          <w:sz w:val="22"/>
          <w:szCs w:val="22"/>
        </w:rPr>
      </w:pPr>
      <w:r w:rsidRPr="007846B5">
        <w:rPr>
          <w:b/>
          <w:bCs/>
          <w:color w:val="000000" w:themeColor="text1"/>
          <w:sz w:val="22"/>
          <w:szCs w:val="22"/>
        </w:rPr>
        <w:t>Contact:</w:t>
      </w:r>
      <w:r w:rsidRPr="007846B5">
        <w:rPr>
          <w:color w:val="000000" w:themeColor="text1"/>
          <w:sz w:val="22"/>
          <w:szCs w:val="22"/>
        </w:rPr>
        <w:t xml:space="preserve"> </w:t>
      </w:r>
      <w:r>
        <w:rPr>
          <w:color w:val="000000" w:themeColor="text1"/>
          <w:sz w:val="22"/>
          <w:szCs w:val="22"/>
        </w:rPr>
        <w:t xml:space="preserve">Marc Rice, Corporate Governance Manager </w:t>
      </w:r>
    </w:p>
    <w:p w14:paraId="2E8F0C79" w14:textId="77777777" w:rsidR="003349B8" w:rsidRPr="007846B5" w:rsidRDefault="003349B8" w:rsidP="003349B8">
      <w:pPr>
        <w:rPr>
          <w:color w:val="000000" w:themeColor="text1"/>
          <w:sz w:val="22"/>
          <w:szCs w:val="22"/>
        </w:rPr>
      </w:pPr>
    </w:p>
    <w:p w14:paraId="40DE41D8" w14:textId="77777777" w:rsidR="003349B8" w:rsidRPr="007846B5" w:rsidRDefault="003349B8" w:rsidP="003349B8">
      <w:pPr>
        <w:rPr>
          <w:color w:val="000000" w:themeColor="text1"/>
          <w:sz w:val="22"/>
          <w:szCs w:val="22"/>
        </w:rPr>
      </w:pPr>
      <w:r w:rsidRPr="007846B5">
        <w:rPr>
          <w:b/>
          <w:bCs/>
        </w:rPr>
        <w:t>Document control</w:t>
      </w:r>
    </w:p>
    <w:p w14:paraId="4B0BA2D0" w14:textId="77777777" w:rsidR="00004DE8" w:rsidRPr="007846B5" w:rsidRDefault="00004DE8" w:rsidP="00004DE8">
      <w:r w:rsidRPr="007846B5">
        <w:t xml:space="preserve">The controlled copy of this document is maintained by the governance team in the Governance Handbook, here </w:t>
      </w:r>
      <w:hyperlink r:id="rId14" w:history="1">
        <w:r w:rsidRPr="007846B5">
          <w:rPr>
            <w:color w:val="0000FF" w:themeColor="hyperlink"/>
            <w:u w:val="single"/>
          </w:rPr>
          <w:t>https://northeastnorthcumbria.nhs.uk/about-us/corporate-information/governance/</w:t>
        </w:r>
      </w:hyperlink>
    </w:p>
    <w:p w14:paraId="1871DB82" w14:textId="77777777" w:rsidR="00004DE8" w:rsidRPr="007846B5" w:rsidRDefault="00004DE8" w:rsidP="00004DE8"/>
    <w:p w14:paraId="62FECAD0" w14:textId="77777777" w:rsidR="00004DE8" w:rsidRPr="007846B5" w:rsidRDefault="00004DE8" w:rsidP="00004DE8">
      <w:r w:rsidRPr="007846B5">
        <w:t>Any copies of this document held outside of the Governance Handbook, in whatever format (e.g., paper, email attachment), are considered to have passed out of control and should be checked for currency and validity.</w:t>
      </w:r>
    </w:p>
    <w:p w14:paraId="74969120" w14:textId="77777777" w:rsidR="003349B8" w:rsidRPr="004F3752" w:rsidRDefault="003349B8" w:rsidP="003349B8"/>
    <w:p w14:paraId="654526FA" w14:textId="2D44C7B3" w:rsidR="00E06F93" w:rsidRDefault="00E06F93" w:rsidP="003349B8"/>
    <w:p w14:paraId="3925E30C" w14:textId="77777777" w:rsidR="00004DE8" w:rsidRDefault="00004DE8" w:rsidP="003349B8"/>
    <w:p w14:paraId="4CE5E74A" w14:textId="77777777" w:rsidR="00004DE8" w:rsidRDefault="00004DE8" w:rsidP="003349B8"/>
    <w:p w14:paraId="773186BC" w14:textId="77777777" w:rsidR="00004DE8" w:rsidRDefault="00004DE8" w:rsidP="003349B8"/>
    <w:p w14:paraId="35F16C4C" w14:textId="77777777" w:rsidR="00004DE8" w:rsidRDefault="00004DE8" w:rsidP="003349B8"/>
    <w:p w14:paraId="427DCA43" w14:textId="77777777" w:rsidR="00004DE8" w:rsidRDefault="00004DE8" w:rsidP="003349B8"/>
    <w:p w14:paraId="1E566496" w14:textId="77777777" w:rsidR="00004DE8" w:rsidRDefault="00004DE8" w:rsidP="003349B8"/>
    <w:p w14:paraId="42E47057" w14:textId="77777777" w:rsidR="00004DE8" w:rsidRDefault="00004DE8" w:rsidP="003349B8">
      <w:pPr>
        <w:sectPr w:rsidR="00004DE8" w:rsidSect="00521F0D">
          <w:footerReference w:type="default" r:id="rId15"/>
          <w:pgSz w:w="11906" w:h="16838"/>
          <w:pgMar w:top="1440" w:right="1440" w:bottom="1440" w:left="1440" w:header="709" w:footer="709" w:gutter="0"/>
          <w:cols w:space="708"/>
          <w:docGrid w:linePitch="360"/>
        </w:sectPr>
      </w:pPr>
    </w:p>
    <w:p w14:paraId="49A5F20B" w14:textId="77777777" w:rsidR="00004DE8" w:rsidRDefault="00004DE8" w:rsidP="00004DE8">
      <w:pPr>
        <w:jc w:val="center"/>
        <w:rPr>
          <w:b/>
          <w:bCs/>
          <w:sz w:val="36"/>
          <w:szCs w:val="36"/>
        </w:rPr>
      </w:pPr>
      <w:bookmarkStart w:id="83" w:name="_Hlk187825401"/>
      <w:r>
        <w:rPr>
          <w:noProof/>
        </w:rPr>
        <w:lastRenderedPageBreak/>
        <w:drawing>
          <wp:anchor distT="0" distB="0" distL="114300" distR="114300" simplePos="0" relativeHeight="251661312" behindDoc="1" locked="0" layoutInCell="1" allowOverlap="1" wp14:anchorId="4589999F" wp14:editId="4AD74586">
            <wp:simplePos x="0" y="0"/>
            <wp:positionH relativeFrom="margin">
              <wp:align>right</wp:align>
            </wp:positionH>
            <wp:positionV relativeFrom="paragraph">
              <wp:posOffset>11575</wp:posOffset>
            </wp:positionV>
            <wp:extent cx="1709420" cy="1029140"/>
            <wp:effectExtent l="0" t="0" r="5080" b="0"/>
            <wp:wrapNone/>
            <wp:docPr id="2003272531" name="Picture 20032725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9420" cy="1029140"/>
                    </a:xfrm>
                    <a:prstGeom prst="rect">
                      <a:avLst/>
                    </a:prstGeom>
                  </pic:spPr>
                </pic:pic>
              </a:graphicData>
            </a:graphic>
            <wp14:sizeRelH relativeFrom="page">
              <wp14:pctWidth>0</wp14:pctWidth>
            </wp14:sizeRelH>
            <wp14:sizeRelV relativeFrom="page">
              <wp14:pctHeight>0</wp14:pctHeight>
            </wp14:sizeRelV>
          </wp:anchor>
        </w:drawing>
      </w:r>
    </w:p>
    <w:p w14:paraId="00BCD6D4" w14:textId="77777777" w:rsidR="00004DE8" w:rsidRDefault="00004DE8" w:rsidP="00004DE8">
      <w:pPr>
        <w:pStyle w:val="Heading1"/>
        <w:rPr>
          <w:rFonts w:eastAsia="Times New Roman"/>
          <w:lang w:val="en-US"/>
        </w:rPr>
      </w:pPr>
      <w:bookmarkStart w:id="84" w:name="_Toc130294961"/>
      <w:bookmarkStart w:id="85" w:name="_Toc161406336"/>
      <w:bookmarkEnd w:id="83"/>
      <w:r>
        <w:rPr>
          <w:rFonts w:eastAsia="Times New Roman"/>
          <w:lang w:val="en-US"/>
        </w:rPr>
        <w:t xml:space="preserve">Annex </w:t>
      </w:r>
      <w:r w:rsidRPr="00C16398">
        <w:rPr>
          <w:rFonts w:eastAsia="Times New Roman"/>
          <w:lang w:val="en-US"/>
        </w:rPr>
        <w:t xml:space="preserve">1 – Governance </w:t>
      </w:r>
      <w:r>
        <w:rPr>
          <w:rFonts w:eastAsia="Times New Roman"/>
          <w:lang w:val="en-US"/>
        </w:rPr>
        <w:t>and</w:t>
      </w:r>
      <w:r w:rsidRPr="00C16398">
        <w:rPr>
          <w:rFonts w:eastAsia="Times New Roman"/>
          <w:lang w:val="en-US"/>
        </w:rPr>
        <w:t xml:space="preserve"> Decision Making</w:t>
      </w:r>
      <w:bookmarkEnd w:id="84"/>
      <w:bookmarkEnd w:id="85"/>
    </w:p>
    <w:p w14:paraId="678A20E9" w14:textId="77777777" w:rsidR="00004DE8" w:rsidRDefault="00004DE8" w:rsidP="00004DE8">
      <w:pPr>
        <w:rPr>
          <w:lang w:val="en-US"/>
        </w:rPr>
      </w:pPr>
    </w:p>
    <w:p w14:paraId="391D76B1" w14:textId="77777777" w:rsidR="00004DE8" w:rsidRDefault="00004DE8" w:rsidP="00004DE8">
      <w:pPr>
        <w:rPr>
          <w:lang w:val="en-US"/>
        </w:rPr>
      </w:pPr>
    </w:p>
    <w:p w14:paraId="3A5F46C2" w14:textId="77777777" w:rsidR="00004DE8" w:rsidRDefault="00004DE8" w:rsidP="00004DE8">
      <w:pPr>
        <w:rPr>
          <w:lang w:val="en-US"/>
        </w:rPr>
      </w:pPr>
    </w:p>
    <w:p w14:paraId="742A4DE0" w14:textId="77777777" w:rsidR="00004DE8" w:rsidRDefault="00004DE8" w:rsidP="00004DE8">
      <w:pPr>
        <w:rPr>
          <w:lang w:val="en-US"/>
        </w:rPr>
      </w:pPr>
    </w:p>
    <w:p w14:paraId="15FA7C92" w14:textId="77777777" w:rsidR="00004DE8" w:rsidRPr="00BA41E5" w:rsidRDefault="00004DE8" w:rsidP="00004DE8">
      <w:pPr>
        <w:rPr>
          <w:lang w:val="en-US"/>
        </w:rPr>
      </w:pPr>
      <w:r w:rsidRPr="00A6084F">
        <w:rPr>
          <w:noProof/>
          <w:lang w:val="en-US"/>
        </w:rPr>
        <w:drawing>
          <wp:inline distT="0" distB="0" distL="0" distR="0" wp14:anchorId="3F92FA93" wp14:editId="04A3AB87">
            <wp:extent cx="8863330" cy="4249420"/>
            <wp:effectExtent l="0" t="0" r="0" b="0"/>
            <wp:docPr id="220902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02738" name=""/>
                    <pic:cNvPicPr/>
                  </pic:nvPicPr>
                  <pic:blipFill>
                    <a:blip r:embed="rId16"/>
                    <a:stretch>
                      <a:fillRect/>
                    </a:stretch>
                  </pic:blipFill>
                  <pic:spPr>
                    <a:xfrm>
                      <a:off x="0" y="0"/>
                      <a:ext cx="8863330" cy="4249420"/>
                    </a:xfrm>
                    <a:prstGeom prst="rect">
                      <a:avLst/>
                    </a:prstGeom>
                  </pic:spPr>
                </pic:pic>
              </a:graphicData>
            </a:graphic>
          </wp:inline>
        </w:drawing>
      </w:r>
    </w:p>
    <w:p w14:paraId="0BEE323D" w14:textId="77777777" w:rsidR="00004DE8" w:rsidRPr="003349B8" w:rsidRDefault="00004DE8" w:rsidP="003349B8"/>
    <w:sectPr w:rsidR="00004DE8" w:rsidRPr="003349B8" w:rsidSect="00004DE8">
      <w:headerReference w:type="even" r:id="rId17"/>
      <w:headerReference w:type="default" r:id="rId18"/>
      <w:footerReference w:type="default" r:id="rId19"/>
      <w:headerReference w:type="first" r:id="rId2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B0DC" w14:textId="77777777" w:rsidR="00094F80" w:rsidRDefault="00094F80" w:rsidP="00491684">
      <w:r>
        <w:separator/>
      </w:r>
    </w:p>
  </w:endnote>
  <w:endnote w:type="continuationSeparator" w:id="0">
    <w:p w14:paraId="6979EE8D" w14:textId="77777777" w:rsidR="00094F80" w:rsidRDefault="00094F80"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E003DB" w:rsidP="0080678A">
        <w:pPr>
          <w:pStyle w:val="Footer"/>
          <w:jc w:val="center"/>
          <w:rPr>
            <w:noProof/>
          </w:rPr>
        </w:pPr>
      </w:p>
    </w:sdtContent>
  </w:sdt>
  <w:p w14:paraId="3ABD3174" w14:textId="63970FA4" w:rsidR="0080678A" w:rsidRPr="0080678A" w:rsidRDefault="00E91B42" w:rsidP="0080678A">
    <w:pPr>
      <w:pStyle w:val="Footer"/>
      <w:rPr>
        <w:noProof/>
      </w:rPr>
    </w:pPr>
    <w:r>
      <w:rPr>
        <w:sz w:val="18"/>
        <w:szCs w:val="18"/>
      </w:rPr>
      <w:t xml:space="preserve">Primary Care </w:t>
    </w:r>
    <w:r w:rsidR="0080678A" w:rsidRPr="0080678A">
      <w:rPr>
        <w:sz w:val="18"/>
        <w:szCs w:val="18"/>
      </w:rPr>
      <w:t>Sub</w:t>
    </w:r>
    <w:r w:rsidR="002E64C9">
      <w:rPr>
        <w:sz w:val="18"/>
        <w:szCs w:val="18"/>
      </w:rPr>
      <w:t>c</w:t>
    </w:r>
    <w:r w:rsidR="0080678A" w:rsidRPr="0080678A">
      <w:rPr>
        <w:sz w:val="18"/>
        <w:szCs w:val="18"/>
      </w:rPr>
      <w:t>ommittee Terms of Refer</w:t>
    </w:r>
    <w:r w:rsidR="0080678A" w:rsidRPr="00CF5476">
      <w:rPr>
        <w:sz w:val="18"/>
        <w:szCs w:val="18"/>
      </w:rPr>
      <w:t>ence (</w:t>
    </w:r>
    <w:r w:rsidR="00CF5476" w:rsidRPr="00CF5476">
      <w:rPr>
        <w:sz w:val="18"/>
        <w:szCs w:val="18"/>
      </w:rPr>
      <w:t>v</w:t>
    </w:r>
    <w:r w:rsidR="007C7649">
      <w:rPr>
        <w:sz w:val="18"/>
        <w:szCs w:val="18"/>
      </w:rPr>
      <w:t>3</w:t>
    </w:r>
    <w:r>
      <w:rPr>
        <w:sz w:val="18"/>
        <w:szCs w:val="18"/>
      </w:rPr>
      <w:t>.</w:t>
    </w:r>
    <w:r w:rsidR="00120C5A">
      <w:rPr>
        <w:sz w:val="18"/>
        <w:szCs w:val="18"/>
      </w:rPr>
      <w:t>0</w:t>
    </w:r>
    <w:r w:rsidR="00CF5476" w:rsidRPr="00CF5476">
      <w:rPr>
        <w:sz w:val="18"/>
        <w:szCs w:val="18"/>
      </w:rPr>
      <w:t>)</w:t>
    </w:r>
  </w:p>
  <w:p w14:paraId="28D6D520" w14:textId="77777777" w:rsidR="00BF383B" w:rsidRDefault="00BF3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63665"/>
      <w:docPartObj>
        <w:docPartGallery w:val="Page Numbers (Bottom of Page)"/>
        <w:docPartUnique/>
      </w:docPartObj>
    </w:sdtPr>
    <w:sdtEndPr>
      <w:rPr>
        <w:noProof/>
      </w:rPr>
    </w:sdtEndPr>
    <w:sdtContent>
      <w:p w14:paraId="26B3B101" w14:textId="77777777" w:rsidR="00004DE8" w:rsidRDefault="00004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A408A" w14:textId="77777777" w:rsidR="00004DE8" w:rsidRDefault="0000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35CA" w14:textId="77777777" w:rsidR="00094F80" w:rsidRDefault="00094F80" w:rsidP="00491684">
      <w:r>
        <w:separator/>
      </w:r>
    </w:p>
  </w:footnote>
  <w:footnote w:type="continuationSeparator" w:id="0">
    <w:p w14:paraId="0FF59ED7" w14:textId="77777777" w:rsidR="00094F80" w:rsidRDefault="00094F80"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9978" w14:textId="77777777" w:rsidR="00004DE8" w:rsidRDefault="0000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C321" w14:textId="77777777" w:rsidR="00004DE8" w:rsidRPr="00FB57DB" w:rsidRDefault="00004DE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A72F" w14:textId="77777777" w:rsidR="00004DE8" w:rsidRDefault="00004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9D4415C"/>
    <w:multiLevelType w:val="hybridMultilevel"/>
    <w:tmpl w:val="4BD800BE"/>
    <w:lvl w:ilvl="0" w:tplc="F8B82DD8">
      <w:start w:val="1"/>
      <w:numFmt w:val="bullet"/>
      <w:lvlText w:val="•"/>
      <w:lvlJc w:val="left"/>
      <w:pPr>
        <w:tabs>
          <w:tab w:val="num" w:pos="720"/>
        </w:tabs>
        <w:ind w:left="720" w:hanging="360"/>
      </w:pPr>
      <w:rPr>
        <w:rFonts w:ascii="Arial" w:hAnsi="Arial" w:hint="default"/>
      </w:rPr>
    </w:lvl>
    <w:lvl w:ilvl="1" w:tplc="0AE2DF78" w:tentative="1">
      <w:start w:val="1"/>
      <w:numFmt w:val="bullet"/>
      <w:lvlText w:val="•"/>
      <w:lvlJc w:val="left"/>
      <w:pPr>
        <w:tabs>
          <w:tab w:val="num" w:pos="1440"/>
        </w:tabs>
        <w:ind w:left="1440" w:hanging="360"/>
      </w:pPr>
      <w:rPr>
        <w:rFonts w:ascii="Arial" w:hAnsi="Arial" w:hint="default"/>
      </w:rPr>
    </w:lvl>
    <w:lvl w:ilvl="2" w:tplc="BAF27FE4" w:tentative="1">
      <w:start w:val="1"/>
      <w:numFmt w:val="bullet"/>
      <w:lvlText w:val="•"/>
      <w:lvlJc w:val="left"/>
      <w:pPr>
        <w:tabs>
          <w:tab w:val="num" w:pos="2160"/>
        </w:tabs>
        <w:ind w:left="2160" w:hanging="360"/>
      </w:pPr>
      <w:rPr>
        <w:rFonts w:ascii="Arial" w:hAnsi="Arial" w:hint="default"/>
      </w:rPr>
    </w:lvl>
    <w:lvl w:ilvl="3" w:tplc="E40A0F16" w:tentative="1">
      <w:start w:val="1"/>
      <w:numFmt w:val="bullet"/>
      <w:lvlText w:val="•"/>
      <w:lvlJc w:val="left"/>
      <w:pPr>
        <w:tabs>
          <w:tab w:val="num" w:pos="2880"/>
        </w:tabs>
        <w:ind w:left="2880" w:hanging="360"/>
      </w:pPr>
      <w:rPr>
        <w:rFonts w:ascii="Arial" w:hAnsi="Arial" w:hint="default"/>
      </w:rPr>
    </w:lvl>
    <w:lvl w:ilvl="4" w:tplc="0BA0364C" w:tentative="1">
      <w:start w:val="1"/>
      <w:numFmt w:val="bullet"/>
      <w:lvlText w:val="•"/>
      <w:lvlJc w:val="left"/>
      <w:pPr>
        <w:tabs>
          <w:tab w:val="num" w:pos="3600"/>
        </w:tabs>
        <w:ind w:left="3600" w:hanging="360"/>
      </w:pPr>
      <w:rPr>
        <w:rFonts w:ascii="Arial" w:hAnsi="Arial" w:hint="default"/>
      </w:rPr>
    </w:lvl>
    <w:lvl w:ilvl="5" w:tplc="927C088E" w:tentative="1">
      <w:start w:val="1"/>
      <w:numFmt w:val="bullet"/>
      <w:lvlText w:val="•"/>
      <w:lvlJc w:val="left"/>
      <w:pPr>
        <w:tabs>
          <w:tab w:val="num" w:pos="4320"/>
        </w:tabs>
        <w:ind w:left="4320" w:hanging="360"/>
      </w:pPr>
      <w:rPr>
        <w:rFonts w:ascii="Arial" w:hAnsi="Arial" w:hint="default"/>
      </w:rPr>
    </w:lvl>
    <w:lvl w:ilvl="6" w:tplc="81D415EC" w:tentative="1">
      <w:start w:val="1"/>
      <w:numFmt w:val="bullet"/>
      <w:lvlText w:val="•"/>
      <w:lvlJc w:val="left"/>
      <w:pPr>
        <w:tabs>
          <w:tab w:val="num" w:pos="5040"/>
        </w:tabs>
        <w:ind w:left="5040" w:hanging="360"/>
      </w:pPr>
      <w:rPr>
        <w:rFonts w:ascii="Arial" w:hAnsi="Arial" w:hint="default"/>
      </w:rPr>
    </w:lvl>
    <w:lvl w:ilvl="7" w:tplc="4336D018" w:tentative="1">
      <w:start w:val="1"/>
      <w:numFmt w:val="bullet"/>
      <w:lvlText w:val="•"/>
      <w:lvlJc w:val="left"/>
      <w:pPr>
        <w:tabs>
          <w:tab w:val="num" w:pos="5760"/>
        </w:tabs>
        <w:ind w:left="5760" w:hanging="360"/>
      </w:pPr>
      <w:rPr>
        <w:rFonts w:ascii="Arial" w:hAnsi="Arial" w:hint="default"/>
      </w:rPr>
    </w:lvl>
    <w:lvl w:ilvl="8" w:tplc="D6286B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0"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D0129"/>
    <w:multiLevelType w:val="hybridMultilevel"/>
    <w:tmpl w:val="788E8288"/>
    <w:lvl w:ilvl="0" w:tplc="4132873A">
      <w:start w:val="1"/>
      <w:numFmt w:val="bullet"/>
      <w:lvlText w:val="•"/>
      <w:lvlJc w:val="left"/>
      <w:pPr>
        <w:tabs>
          <w:tab w:val="num" w:pos="720"/>
        </w:tabs>
        <w:ind w:left="720" w:hanging="360"/>
      </w:pPr>
      <w:rPr>
        <w:rFonts w:ascii="Arial" w:hAnsi="Arial" w:hint="default"/>
      </w:rPr>
    </w:lvl>
    <w:lvl w:ilvl="1" w:tplc="277C068E" w:tentative="1">
      <w:start w:val="1"/>
      <w:numFmt w:val="bullet"/>
      <w:lvlText w:val="•"/>
      <w:lvlJc w:val="left"/>
      <w:pPr>
        <w:tabs>
          <w:tab w:val="num" w:pos="1440"/>
        </w:tabs>
        <w:ind w:left="1440" w:hanging="360"/>
      </w:pPr>
      <w:rPr>
        <w:rFonts w:ascii="Arial" w:hAnsi="Arial" w:hint="default"/>
      </w:rPr>
    </w:lvl>
    <w:lvl w:ilvl="2" w:tplc="F2C6393C" w:tentative="1">
      <w:start w:val="1"/>
      <w:numFmt w:val="bullet"/>
      <w:lvlText w:val="•"/>
      <w:lvlJc w:val="left"/>
      <w:pPr>
        <w:tabs>
          <w:tab w:val="num" w:pos="2160"/>
        </w:tabs>
        <w:ind w:left="2160" w:hanging="360"/>
      </w:pPr>
      <w:rPr>
        <w:rFonts w:ascii="Arial" w:hAnsi="Arial" w:hint="default"/>
      </w:rPr>
    </w:lvl>
    <w:lvl w:ilvl="3" w:tplc="31C4A396" w:tentative="1">
      <w:start w:val="1"/>
      <w:numFmt w:val="bullet"/>
      <w:lvlText w:val="•"/>
      <w:lvlJc w:val="left"/>
      <w:pPr>
        <w:tabs>
          <w:tab w:val="num" w:pos="2880"/>
        </w:tabs>
        <w:ind w:left="2880" w:hanging="360"/>
      </w:pPr>
      <w:rPr>
        <w:rFonts w:ascii="Arial" w:hAnsi="Arial" w:hint="default"/>
      </w:rPr>
    </w:lvl>
    <w:lvl w:ilvl="4" w:tplc="23E43B92" w:tentative="1">
      <w:start w:val="1"/>
      <w:numFmt w:val="bullet"/>
      <w:lvlText w:val="•"/>
      <w:lvlJc w:val="left"/>
      <w:pPr>
        <w:tabs>
          <w:tab w:val="num" w:pos="3600"/>
        </w:tabs>
        <w:ind w:left="3600" w:hanging="360"/>
      </w:pPr>
      <w:rPr>
        <w:rFonts w:ascii="Arial" w:hAnsi="Arial" w:hint="default"/>
      </w:rPr>
    </w:lvl>
    <w:lvl w:ilvl="5" w:tplc="9F646310" w:tentative="1">
      <w:start w:val="1"/>
      <w:numFmt w:val="bullet"/>
      <w:lvlText w:val="•"/>
      <w:lvlJc w:val="left"/>
      <w:pPr>
        <w:tabs>
          <w:tab w:val="num" w:pos="4320"/>
        </w:tabs>
        <w:ind w:left="4320" w:hanging="360"/>
      </w:pPr>
      <w:rPr>
        <w:rFonts w:ascii="Arial" w:hAnsi="Arial" w:hint="default"/>
      </w:rPr>
    </w:lvl>
    <w:lvl w:ilvl="6" w:tplc="F13E91D8" w:tentative="1">
      <w:start w:val="1"/>
      <w:numFmt w:val="bullet"/>
      <w:lvlText w:val="•"/>
      <w:lvlJc w:val="left"/>
      <w:pPr>
        <w:tabs>
          <w:tab w:val="num" w:pos="5040"/>
        </w:tabs>
        <w:ind w:left="5040" w:hanging="360"/>
      </w:pPr>
      <w:rPr>
        <w:rFonts w:ascii="Arial" w:hAnsi="Arial" w:hint="default"/>
      </w:rPr>
    </w:lvl>
    <w:lvl w:ilvl="7" w:tplc="9F3E7468" w:tentative="1">
      <w:start w:val="1"/>
      <w:numFmt w:val="bullet"/>
      <w:lvlText w:val="•"/>
      <w:lvlJc w:val="left"/>
      <w:pPr>
        <w:tabs>
          <w:tab w:val="num" w:pos="5760"/>
        </w:tabs>
        <w:ind w:left="5760" w:hanging="360"/>
      </w:pPr>
      <w:rPr>
        <w:rFonts w:ascii="Arial" w:hAnsi="Arial" w:hint="default"/>
      </w:rPr>
    </w:lvl>
    <w:lvl w:ilvl="8" w:tplc="2FAE91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9"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2"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3"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1"/>
  </w:num>
  <w:num w:numId="2" w16cid:durableId="785588469">
    <w:abstractNumId w:val="19"/>
  </w:num>
  <w:num w:numId="3" w16cid:durableId="1652447507">
    <w:abstractNumId w:val="29"/>
  </w:num>
  <w:num w:numId="4" w16cid:durableId="782724693">
    <w:abstractNumId w:val="16"/>
  </w:num>
  <w:num w:numId="5" w16cid:durableId="2029986043">
    <w:abstractNumId w:val="30"/>
  </w:num>
  <w:num w:numId="6" w16cid:durableId="1615022015">
    <w:abstractNumId w:val="15"/>
  </w:num>
  <w:num w:numId="7" w16cid:durableId="401757183">
    <w:abstractNumId w:val="17"/>
  </w:num>
  <w:num w:numId="8" w16cid:durableId="1645239076">
    <w:abstractNumId w:val="8"/>
  </w:num>
  <w:num w:numId="9" w16cid:durableId="1452437004">
    <w:abstractNumId w:val="14"/>
  </w:num>
  <w:num w:numId="10" w16cid:durableId="1397044591">
    <w:abstractNumId w:val="24"/>
  </w:num>
  <w:num w:numId="11" w16cid:durableId="898712631">
    <w:abstractNumId w:val="21"/>
  </w:num>
  <w:num w:numId="12" w16cid:durableId="1021853863">
    <w:abstractNumId w:val="26"/>
  </w:num>
  <w:num w:numId="13" w16cid:durableId="438138316">
    <w:abstractNumId w:val="3"/>
  </w:num>
  <w:num w:numId="14" w16cid:durableId="1294866750">
    <w:abstractNumId w:val="7"/>
  </w:num>
  <w:num w:numId="15" w16cid:durableId="1205943266">
    <w:abstractNumId w:val="28"/>
  </w:num>
  <w:num w:numId="16" w16cid:durableId="1625497345">
    <w:abstractNumId w:val="31"/>
  </w:num>
  <w:num w:numId="17" w16cid:durableId="771902717">
    <w:abstractNumId w:val="32"/>
  </w:num>
  <w:num w:numId="18" w16cid:durableId="674769433">
    <w:abstractNumId w:val="27"/>
  </w:num>
  <w:num w:numId="19" w16cid:durableId="1739749260">
    <w:abstractNumId w:val="20"/>
  </w:num>
  <w:num w:numId="20" w16cid:durableId="179124134">
    <w:abstractNumId w:val="18"/>
  </w:num>
  <w:num w:numId="21" w16cid:durableId="1218397927">
    <w:abstractNumId w:val="23"/>
  </w:num>
  <w:num w:numId="22" w16cid:durableId="1451238728">
    <w:abstractNumId w:val="2"/>
  </w:num>
  <w:num w:numId="23" w16cid:durableId="1627656307">
    <w:abstractNumId w:val="12"/>
  </w:num>
  <w:num w:numId="24" w16cid:durableId="915624493">
    <w:abstractNumId w:val="10"/>
  </w:num>
  <w:num w:numId="25" w16cid:durableId="400762022">
    <w:abstractNumId w:val="6"/>
  </w:num>
  <w:num w:numId="26" w16cid:durableId="135034608">
    <w:abstractNumId w:val="4"/>
  </w:num>
  <w:num w:numId="27" w16cid:durableId="1627157444">
    <w:abstractNumId w:val="5"/>
  </w:num>
  <w:num w:numId="28" w16cid:durableId="1363819146">
    <w:abstractNumId w:val="25"/>
  </w:num>
  <w:num w:numId="29" w16cid:durableId="349844877">
    <w:abstractNumId w:val="0"/>
  </w:num>
  <w:num w:numId="30" w16cid:durableId="163474935">
    <w:abstractNumId w:val="22"/>
  </w:num>
  <w:num w:numId="31" w16cid:durableId="1119181324">
    <w:abstractNumId w:val="9"/>
  </w:num>
  <w:num w:numId="32" w16cid:durableId="2059475391">
    <w:abstractNumId w:val="25"/>
  </w:num>
  <w:num w:numId="33" w16cid:durableId="1294171587">
    <w:abstractNumId w:val="1"/>
  </w:num>
  <w:num w:numId="34" w16cid:durableId="8441699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4DE8"/>
    <w:rsid w:val="00007285"/>
    <w:rsid w:val="00007637"/>
    <w:rsid w:val="00020645"/>
    <w:rsid w:val="00041B94"/>
    <w:rsid w:val="00056487"/>
    <w:rsid w:val="00066210"/>
    <w:rsid w:val="00071E75"/>
    <w:rsid w:val="00082EFD"/>
    <w:rsid w:val="0008465A"/>
    <w:rsid w:val="000915E2"/>
    <w:rsid w:val="00094F80"/>
    <w:rsid w:val="00097144"/>
    <w:rsid w:val="000A602F"/>
    <w:rsid w:val="000B37E0"/>
    <w:rsid w:val="000F5594"/>
    <w:rsid w:val="00113CAF"/>
    <w:rsid w:val="00120C5A"/>
    <w:rsid w:val="00130173"/>
    <w:rsid w:val="00130E47"/>
    <w:rsid w:val="0014207E"/>
    <w:rsid w:val="00157F40"/>
    <w:rsid w:val="00162879"/>
    <w:rsid w:val="001716F1"/>
    <w:rsid w:val="00171A35"/>
    <w:rsid w:val="001A0644"/>
    <w:rsid w:val="001A1645"/>
    <w:rsid w:val="001A533C"/>
    <w:rsid w:val="001B41B3"/>
    <w:rsid w:val="001C6ADB"/>
    <w:rsid w:val="001D5800"/>
    <w:rsid w:val="001E1A4E"/>
    <w:rsid w:val="001F00DC"/>
    <w:rsid w:val="001F77C6"/>
    <w:rsid w:val="0021377B"/>
    <w:rsid w:val="0022019F"/>
    <w:rsid w:val="00222862"/>
    <w:rsid w:val="00265374"/>
    <w:rsid w:val="002713F0"/>
    <w:rsid w:val="00274EAB"/>
    <w:rsid w:val="002829CF"/>
    <w:rsid w:val="00284338"/>
    <w:rsid w:val="00294288"/>
    <w:rsid w:val="002B16A4"/>
    <w:rsid w:val="002B4C3F"/>
    <w:rsid w:val="002B6956"/>
    <w:rsid w:val="002B6C9E"/>
    <w:rsid w:val="002C5128"/>
    <w:rsid w:val="002D034F"/>
    <w:rsid w:val="002E3234"/>
    <w:rsid w:val="002E64C9"/>
    <w:rsid w:val="002F43CA"/>
    <w:rsid w:val="002F71D9"/>
    <w:rsid w:val="00306758"/>
    <w:rsid w:val="00315FC0"/>
    <w:rsid w:val="003221C3"/>
    <w:rsid w:val="0032522A"/>
    <w:rsid w:val="003349B8"/>
    <w:rsid w:val="00365989"/>
    <w:rsid w:val="0037011A"/>
    <w:rsid w:val="00375353"/>
    <w:rsid w:val="0037660A"/>
    <w:rsid w:val="00382AFE"/>
    <w:rsid w:val="0038449B"/>
    <w:rsid w:val="00386F26"/>
    <w:rsid w:val="00391C87"/>
    <w:rsid w:val="00397C7C"/>
    <w:rsid w:val="003C0444"/>
    <w:rsid w:val="003C64FF"/>
    <w:rsid w:val="003D7B5C"/>
    <w:rsid w:val="003E2FAB"/>
    <w:rsid w:val="003E314F"/>
    <w:rsid w:val="003F1635"/>
    <w:rsid w:val="00406312"/>
    <w:rsid w:val="004173AE"/>
    <w:rsid w:val="00422BBB"/>
    <w:rsid w:val="00423EB3"/>
    <w:rsid w:val="0043152A"/>
    <w:rsid w:val="00431B9F"/>
    <w:rsid w:val="00435038"/>
    <w:rsid w:val="00456213"/>
    <w:rsid w:val="004630AD"/>
    <w:rsid w:val="004640AF"/>
    <w:rsid w:val="004834BE"/>
    <w:rsid w:val="00491684"/>
    <w:rsid w:val="00496ED6"/>
    <w:rsid w:val="004B4920"/>
    <w:rsid w:val="004E333F"/>
    <w:rsid w:val="004F51B7"/>
    <w:rsid w:val="00510576"/>
    <w:rsid w:val="00521F0D"/>
    <w:rsid w:val="00526451"/>
    <w:rsid w:val="00527B11"/>
    <w:rsid w:val="00532F6E"/>
    <w:rsid w:val="00545855"/>
    <w:rsid w:val="00550E31"/>
    <w:rsid w:val="00554274"/>
    <w:rsid w:val="005611BE"/>
    <w:rsid w:val="00561206"/>
    <w:rsid w:val="00571BCF"/>
    <w:rsid w:val="00581251"/>
    <w:rsid w:val="00592C45"/>
    <w:rsid w:val="005A4D43"/>
    <w:rsid w:val="005E2FB6"/>
    <w:rsid w:val="005E3370"/>
    <w:rsid w:val="006035A2"/>
    <w:rsid w:val="0061070A"/>
    <w:rsid w:val="0063168D"/>
    <w:rsid w:val="006322F4"/>
    <w:rsid w:val="00650E47"/>
    <w:rsid w:val="0067588A"/>
    <w:rsid w:val="00683649"/>
    <w:rsid w:val="00687A84"/>
    <w:rsid w:val="00693E5E"/>
    <w:rsid w:val="006945FD"/>
    <w:rsid w:val="006A243D"/>
    <w:rsid w:val="006A7131"/>
    <w:rsid w:val="006B3C63"/>
    <w:rsid w:val="006B54A7"/>
    <w:rsid w:val="006B5AE8"/>
    <w:rsid w:val="006C4F64"/>
    <w:rsid w:val="006D2833"/>
    <w:rsid w:val="006E21D3"/>
    <w:rsid w:val="006E2F3B"/>
    <w:rsid w:val="006E6630"/>
    <w:rsid w:val="00710AA5"/>
    <w:rsid w:val="00724EC9"/>
    <w:rsid w:val="00726A19"/>
    <w:rsid w:val="007471D3"/>
    <w:rsid w:val="007478B2"/>
    <w:rsid w:val="00747F2E"/>
    <w:rsid w:val="00764DED"/>
    <w:rsid w:val="00765B57"/>
    <w:rsid w:val="00770C4C"/>
    <w:rsid w:val="0078355E"/>
    <w:rsid w:val="00783C8B"/>
    <w:rsid w:val="00787260"/>
    <w:rsid w:val="00797F90"/>
    <w:rsid w:val="007B7FF5"/>
    <w:rsid w:val="007C1213"/>
    <w:rsid w:val="007C7649"/>
    <w:rsid w:val="007D6FEB"/>
    <w:rsid w:val="007E6B9A"/>
    <w:rsid w:val="007F0CB8"/>
    <w:rsid w:val="007F3856"/>
    <w:rsid w:val="00802A94"/>
    <w:rsid w:val="0080678A"/>
    <w:rsid w:val="00833FAA"/>
    <w:rsid w:val="00865F57"/>
    <w:rsid w:val="00871608"/>
    <w:rsid w:val="008907D4"/>
    <w:rsid w:val="008916FB"/>
    <w:rsid w:val="008A162F"/>
    <w:rsid w:val="008A1631"/>
    <w:rsid w:val="008A441A"/>
    <w:rsid w:val="008A5697"/>
    <w:rsid w:val="008B230C"/>
    <w:rsid w:val="008B53AC"/>
    <w:rsid w:val="008B6BC2"/>
    <w:rsid w:val="008B74FC"/>
    <w:rsid w:val="008C05C2"/>
    <w:rsid w:val="008D51DA"/>
    <w:rsid w:val="00923EA0"/>
    <w:rsid w:val="00925714"/>
    <w:rsid w:val="0093061C"/>
    <w:rsid w:val="0093635E"/>
    <w:rsid w:val="00940D15"/>
    <w:rsid w:val="00944240"/>
    <w:rsid w:val="009463C2"/>
    <w:rsid w:val="00951CBC"/>
    <w:rsid w:val="00955103"/>
    <w:rsid w:val="00965359"/>
    <w:rsid w:val="00974932"/>
    <w:rsid w:val="00975C58"/>
    <w:rsid w:val="009841C6"/>
    <w:rsid w:val="009A777F"/>
    <w:rsid w:val="009A7BF7"/>
    <w:rsid w:val="009A7C87"/>
    <w:rsid w:val="009B08D0"/>
    <w:rsid w:val="009D094C"/>
    <w:rsid w:val="009D6F7B"/>
    <w:rsid w:val="009D7E88"/>
    <w:rsid w:val="009E2C07"/>
    <w:rsid w:val="009E5AED"/>
    <w:rsid w:val="009E68BC"/>
    <w:rsid w:val="009F58C7"/>
    <w:rsid w:val="009F6441"/>
    <w:rsid w:val="00A0118D"/>
    <w:rsid w:val="00A0305A"/>
    <w:rsid w:val="00A21E22"/>
    <w:rsid w:val="00A434AC"/>
    <w:rsid w:val="00A448B1"/>
    <w:rsid w:val="00A50014"/>
    <w:rsid w:val="00A53395"/>
    <w:rsid w:val="00A73D41"/>
    <w:rsid w:val="00A7431F"/>
    <w:rsid w:val="00A767A7"/>
    <w:rsid w:val="00A76DB5"/>
    <w:rsid w:val="00A83773"/>
    <w:rsid w:val="00A85E0A"/>
    <w:rsid w:val="00A903EF"/>
    <w:rsid w:val="00AA4454"/>
    <w:rsid w:val="00AB09A6"/>
    <w:rsid w:val="00AB5E26"/>
    <w:rsid w:val="00AC5A19"/>
    <w:rsid w:val="00AE3DFD"/>
    <w:rsid w:val="00AF6167"/>
    <w:rsid w:val="00AF7C7F"/>
    <w:rsid w:val="00B02954"/>
    <w:rsid w:val="00B21D90"/>
    <w:rsid w:val="00B247D4"/>
    <w:rsid w:val="00B42983"/>
    <w:rsid w:val="00B53C74"/>
    <w:rsid w:val="00B64F26"/>
    <w:rsid w:val="00B64F32"/>
    <w:rsid w:val="00B77019"/>
    <w:rsid w:val="00B84B8D"/>
    <w:rsid w:val="00B9776B"/>
    <w:rsid w:val="00BB0B13"/>
    <w:rsid w:val="00BB387E"/>
    <w:rsid w:val="00BC694F"/>
    <w:rsid w:val="00BD0597"/>
    <w:rsid w:val="00BD3EC2"/>
    <w:rsid w:val="00BE2E07"/>
    <w:rsid w:val="00BE3CFE"/>
    <w:rsid w:val="00BE4604"/>
    <w:rsid w:val="00BF1E4C"/>
    <w:rsid w:val="00BF383B"/>
    <w:rsid w:val="00C014AE"/>
    <w:rsid w:val="00C01CF0"/>
    <w:rsid w:val="00C03C7A"/>
    <w:rsid w:val="00C05647"/>
    <w:rsid w:val="00C51571"/>
    <w:rsid w:val="00C555B2"/>
    <w:rsid w:val="00C63443"/>
    <w:rsid w:val="00C66321"/>
    <w:rsid w:val="00C70E9F"/>
    <w:rsid w:val="00C77A6D"/>
    <w:rsid w:val="00C90F73"/>
    <w:rsid w:val="00C935BD"/>
    <w:rsid w:val="00CA4B32"/>
    <w:rsid w:val="00CB3BDB"/>
    <w:rsid w:val="00CB4710"/>
    <w:rsid w:val="00CB5E4E"/>
    <w:rsid w:val="00CC761C"/>
    <w:rsid w:val="00CD33E6"/>
    <w:rsid w:val="00CD73DE"/>
    <w:rsid w:val="00CE4BDE"/>
    <w:rsid w:val="00CF5476"/>
    <w:rsid w:val="00CF6ABA"/>
    <w:rsid w:val="00D03042"/>
    <w:rsid w:val="00D10D17"/>
    <w:rsid w:val="00D23B29"/>
    <w:rsid w:val="00D374D3"/>
    <w:rsid w:val="00D37FD3"/>
    <w:rsid w:val="00D416C0"/>
    <w:rsid w:val="00D450F2"/>
    <w:rsid w:val="00D45254"/>
    <w:rsid w:val="00D56504"/>
    <w:rsid w:val="00D5682E"/>
    <w:rsid w:val="00D60A04"/>
    <w:rsid w:val="00D67EE2"/>
    <w:rsid w:val="00D71AE1"/>
    <w:rsid w:val="00DB291D"/>
    <w:rsid w:val="00DC6CD3"/>
    <w:rsid w:val="00DD0477"/>
    <w:rsid w:val="00DD21C4"/>
    <w:rsid w:val="00E003DB"/>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75B6"/>
    <w:rsid w:val="00E678A9"/>
    <w:rsid w:val="00E772D3"/>
    <w:rsid w:val="00E77F1D"/>
    <w:rsid w:val="00E85A3E"/>
    <w:rsid w:val="00E91B42"/>
    <w:rsid w:val="00E95A3C"/>
    <w:rsid w:val="00EA0AE7"/>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30B5"/>
    <w:rsid w:val="00F719E5"/>
    <w:rsid w:val="00F8043A"/>
    <w:rsid w:val="00F814DF"/>
    <w:rsid w:val="00F83E55"/>
    <w:rsid w:val="00F94EA1"/>
    <w:rsid w:val="00F95A50"/>
    <w:rsid w:val="00FA5861"/>
    <w:rsid w:val="00FB2592"/>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table" w:customStyle="1" w:styleId="TableGrid8">
    <w:name w:val="Table Grid8"/>
    <w:basedOn w:val="TableNormal"/>
    <w:next w:val="TableGrid"/>
    <w:uiPriority w:val="59"/>
    <w:unhideWhenUsed/>
    <w:rsid w:val="00E9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E9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72264677">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Props1.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3.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5.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BURDIS, Ruby (NHS NORTH EAST AND NORTH CUMBRIA ICB - 00P)</cp:lastModifiedBy>
  <cp:revision>7</cp:revision>
  <cp:lastPrinted>2025-05-07T13:42:00Z</cp:lastPrinted>
  <dcterms:created xsi:type="dcterms:W3CDTF">2025-01-15T09:41:00Z</dcterms:created>
  <dcterms:modified xsi:type="dcterms:W3CDTF">2025-05-07T13:43:00Z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